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C0D" w:rsidRDefault="00623C0D">
      <w:pPr>
        <w:rPr>
          <w:b/>
          <w:sz w:val="16"/>
          <w:szCs w:val="16"/>
        </w:rPr>
      </w:pPr>
      <w:r>
        <w:rPr>
          <w:b/>
          <w:sz w:val="32"/>
          <w:szCs w:val="32"/>
        </w:rPr>
        <w:t>Allegato A</w:t>
      </w:r>
      <w:r w:rsidR="00D9618E">
        <w:rPr>
          <w:b/>
          <w:sz w:val="32"/>
          <w:szCs w:val="32"/>
        </w:rPr>
        <w:tab/>
      </w:r>
      <w:r w:rsidR="00D9618E">
        <w:rPr>
          <w:b/>
          <w:sz w:val="32"/>
          <w:szCs w:val="32"/>
        </w:rPr>
        <w:tab/>
      </w:r>
      <w:r w:rsidR="00D9618E">
        <w:rPr>
          <w:b/>
          <w:sz w:val="32"/>
          <w:szCs w:val="32"/>
        </w:rPr>
        <w:tab/>
      </w:r>
      <w:r w:rsidR="00D9618E">
        <w:rPr>
          <w:b/>
          <w:sz w:val="32"/>
          <w:szCs w:val="32"/>
        </w:rPr>
        <w:tab/>
      </w:r>
      <w:r w:rsidR="00D9618E">
        <w:rPr>
          <w:b/>
          <w:sz w:val="32"/>
          <w:szCs w:val="32"/>
        </w:rPr>
        <w:tab/>
      </w:r>
      <w:r w:rsidR="00D9618E">
        <w:rPr>
          <w:b/>
          <w:sz w:val="32"/>
          <w:szCs w:val="32"/>
        </w:rPr>
        <w:tab/>
      </w:r>
      <w:r w:rsidR="00D9618E" w:rsidRPr="00D9618E">
        <w:rPr>
          <w:b/>
          <w:sz w:val="16"/>
          <w:szCs w:val="16"/>
        </w:rPr>
        <w:t xml:space="preserve">Allegato alla deliberazione </w:t>
      </w:r>
      <w:r w:rsidR="00D9618E">
        <w:rPr>
          <w:b/>
          <w:sz w:val="16"/>
          <w:szCs w:val="16"/>
        </w:rPr>
        <w:t>consiliare n. 2 del 23.03.2017</w:t>
      </w:r>
    </w:p>
    <w:p w:rsidR="00D9618E" w:rsidRDefault="00D9618E">
      <w:pP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Pr>
          <w:b/>
          <w:sz w:val="16"/>
          <w:szCs w:val="16"/>
        </w:rPr>
        <w:tab/>
        <w:t>IL SEGRETARIO COMUNALE</w:t>
      </w:r>
    </w:p>
    <w:p w:rsidR="00D9618E" w:rsidRDefault="00D9618E">
      <w:pP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f.to   dott. Graziano Sensato</w:t>
      </w:r>
    </w:p>
    <w:p w:rsidR="00D9618E" w:rsidRDefault="00D9618E">
      <w:pPr>
        <w:rPr>
          <w:b/>
          <w:sz w:val="16"/>
          <w:szCs w:val="16"/>
        </w:rPr>
      </w:pPr>
      <w:r>
        <w:rPr>
          <w:b/>
          <w:sz w:val="16"/>
          <w:szCs w:val="16"/>
        </w:rPr>
        <w:tab/>
      </w:r>
    </w:p>
    <w:p w:rsidR="00310D6A" w:rsidRPr="00503461" w:rsidRDefault="00503461" w:rsidP="00D9618E">
      <w:pPr>
        <w:jc w:val="center"/>
        <w:rPr>
          <w:b/>
          <w:sz w:val="32"/>
          <w:szCs w:val="32"/>
        </w:rPr>
      </w:pPr>
      <w:r w:rsidRPr="00503461">
        <w:rPr>
          <w:b/>
          <w:sz w:val="32"/>
          <w:szCs w:val="32"/>
        </w:rPr>
        <w:t xml:space="preserve">Modifiche al Regolamento </w:t>
      </w:r>
      <w:proofErr w:type="spellStart"/>
      <w:r w:rsidRPr="00503461">
        <w:rPr>
          <w:b/>
          <w:sz w:val="32"/>
          <w:szCs w:val="32"/>
        </w:rPr>
        <w:t>Imis</w:t>
      </w:r>
      <w:proofErr w:type="spellEnd"/>
    </w:p>
    <w:p w:rsidR="005A5E95" w:rsidRPr="00C47E59" w:rsidRDefault="005A5E95" w:rsidP="005A5E95">
      <w:pPr>
        <w:pStyle w:val="Titolo1"/>
        <w:spacing w:before="480"/>
        <w:rPr>
          <w:rFonts w:ascii="Calibri" w:hAnsi="Calibri"/>
          <w:spacing w:val="40"/>
          <w:u w:val="single"/>
        </w:rPr>
      </w:pPr>
      <w:bookmarkStart w:id="0" w:name="_Toc443645361"/>
      <w:r w:rsidRPr="00C47E59">
        <w:rPr>
          <w:rFonts w:ascii="Calibri" w:hAnsi="Calibri"/>
          <w:spacing w:val="40"/>
          <w:u w:val="single"/>
        </w:rPr>
        <w:t>ART. 4 Esenzioni ed esclusioni d’imposta</w:t>
      </w:r>
      <w:bookmarkEnd w:id="0"/>
    </w:p>
    <w:p w:rsidR="005A5E95" w:rsidRPr="00C47E59" w:rsidRDefault="005A5E95" w:rsidP="005A5E95">
      <w:pPr>
        <w:keepNext/>
        <w:rPr>
          <w:rFonts w:ascii="Calibri" w:hAnsi="Calibri"/>
        </w:rPr>
      </w:pPr>
    </w:p>
    <w:tbl>
      <w:tblPr>
        <w:tblStyle w:val="Grigliatabella"/>
        <w:tblW w:w="0" w:type="auto"/>
        <w:tblLook w:val="04A0"/>
      </w:tblPr>
      <w:tblGrid>
        <w:gridCol w:w="4814"/>
        <w:gridCol w:w="4814"/>
      </w:tblGrid>
      <w:tr w:rsidR="00503461" w:rsidTr="00503461">
        <w:tc>
          <w:tcPr>
            <w:tcW w:w="4814" w:type="dxa"/>
          </w:tcPr>
          <w:p w:rsidR="00503461" w:rsidRDefault="00503461">
            <w:pPr>
              <w:rPr>
                <w:sz w:val="24"/>
                <w:szCs w:val="24"/>
              </w:rPr>
            </w:pPr>
            <w:r>
              <w:rPr>
                <w:sz w:val="24"/>
                <w:szCs w:val="24"/>
              </w:rPr>
              <w:t>Precedente</w:t>
            </w:r>
          </w:p>
        </w:tc>
        <w:tc>
          <w:tcPr>
            <w:tcW w:w="4814" w:type="dxa"/>
          </w:tcPr>
          <w:p w:rsidR="00503461" w:rsidRDefault="00503461">
            <w:pPr>
              <w:rPr>
                <w:sz w:val="24"/>
                <w:szCs w:val="24"/>
              </w:rPr>
            </w:pPr>
            <w:r>
              <w:rPr>
                <w:sz w:val="24"/>
                <w:szCs w:val="24"/>
              </w:rPr>
              <w:t>Nuovo</w:t>
            </w:r>
          </w:p>
        </w:tc>
      </w:tr>
      <w:tr w:rsidR="00503461" w:rsidTr="00503461">
        <w:tc>
          <w:tcPr>
            <w:tcW w:w="4814" w:type="dxa"/>
          </w:tcPr>
          <w:p w:rsidR="005A5E95" w:rsidRPr="00C47E59" w:rsidRDefault="005A5E95" w:rsidP="005A5E95">
            <w:pPr>
              <w:numPr>
                <w:ilvl w:val="0"/>
                <w:numId w:val="3"/>
              </w:numPr>
              <w:spacing w:before="120"/>
              <w:jc w:val="both"/>
              <w:rPr>
                <w:rFonts w:ascii="Calibri" w:hAnsi="Calibri"/>
                <w:sz w:val="24"/>
                <w:szCs w:val="24"/>
              </w:rPr>
            </w:pPr>
            <w:r w:rsidRPr="00C47E59">
              <w:rPr>
                <w:rFonts w:ascii="Calibri" w:hAnsi="Calibri"/>
                <w:sz w:val="24"/>
                <w:szCs w:val="24"/>
              </w:rPr>
              <w:t>Sono esenti, ovvero escluse dall’ambito di applicazione, le fattispecie di cui all’articolo 7 della legge provinciale n. 14 del 2014.</w:t>
            </w:r>
            <w:r>
              <w:rPr>
                <w:rFonts w:ascii="Calibri" w:hAnsi="Calibri"/>
                <w:sz w:val="24"/>
                <w:szCs w:val="24"/>
              </w:rPr>
              <w:t xml:space="preserve"> Per l’individuazione degli Enti strumentali comunali esclusi dall’ambito di applicazione ai sensi dell’articolo 7 comma 2 della legge provinciale n. 14 del 2014, si applica l’articolo 33 della legge provinciale n. 3 del 2006, ferma restando la compatibilità delle disposizioni previste da tale norma con lo Statuto ed i Regolamenti comunali, nonché con gli Statuti degli Enti stessi comunque denominati e con i provvedimenti amministrativi che ne disciplinano l’ordinamento ed il funzionamento.</w:t>
            </w:r>
          </w:p>
          <w:p w:rsidR="005A5E95" w:rsidRPr="00392740" w:rsidRDefault="005A5E95" w:rsidP="005A5E95">
            <w:pPr>
              <w:numPr>
                <w:ilvl w:val="0"/>
                <w:numId w:val="3"/>
              </w:numPr>
              <w:spacing w:before="120"/>
              <w:jc w:val="both"/>
              <w:rPr>
                <w:rFonts w:ascii="Calibri" w:hAnsi="Calibri"/>
                <w:sz w:val="24"/>
                <w:szCs w:val="24"/>
              </w:rPr>
            </w:pPr>
            <w:r w:rsidRPr="00C47E59">
              <w:rPr>
                <w:rFonts w:ascii="Calibri" w:hAnsi="Calibri"/>
                <w:snapToGrid w:val="0"/>
                <w:sz w:val="24"/>
                <w:szCs w:val="24"/>
              </w:rPr>
              <w:t xml:space="preserve">Ai sensi dell’articolo 21 del Decreto Legislativo </w:t>
            </w:r>
            <w:r>
              <w:rPr>
                <w:rFonts w:ascii="Calibri" w:hAnsi="Calibri"/>
                <w:snapToGrid w:val="0"/>
                <w:sz w:val="24"/>
                <w:szCs w:val="24"/>
              </w:rPr>
              <w:t xml:space="preserve">n. 460 </w:t>
            </w:r>
            <w:r w:rsidRPr="00C47E59">
              <w:rPr>
                <w:rFonts w:ascii="Calibri" w:hAnsi="Calibri"/>
                <w:snapToGrid w:val="0"/>
                <w:sz w:val="24"/>
                <w:szCs w:val="24"/>
              </w:rPr>
              <w:t>del 1997 si considerano esenti gli immobili posseduti dalle Organizzazioni Non Lucrative di Utilità Sociale (O.N.L.U.S.) riconosciute come tali secondo le modalità di legge.</w:t>
            </w:r>
          </w:p>
          <w:p w:rsidR="00503461" w:rsidRPr="00AD7E46" w:rsidRDefault="00503461" w:rsidP="005A5E95">
            <w:pPr>
              <w:spacing w:before="120"/>
              <w:ind w:left="360"/>
              <w:jc w:val="both"/>
              <w:rPr>
                <w:rFonts w:ascii="Calibri" w:hAnsi="Calibri"/>
                <w:sz w:val="24"/>
                <w:szCs w:val="24"/>
              </w:rPr>
            </w:pPr>
          </w:p>
        </w:tc>
        <w:tc>
          <w:tcPr>
            <w:tcW w:w="4814" w:type="dxa"/>
          </w:tcPr>
          <w:p w:rsidR="005A5E95" w:rsidRPr="00C47E59" w:rsidRDefault="005A5E95" w:rsidP="00A04B88">
            <w:pPr>
              <w:numPr>
                <w:ilvl w:val="0"/>
                <w:numId w:val="2"/>
              </w:numPr>
              <w:spacing w:before="120"/>
              <w:ind w:left="318"/>
              <w:jc w:val="both"/>
              <w:rPr>
                <w:rFonts w:ascii="Calibri" w:hAnsi="Calibri"/>
                <w:sz w:val="24"/>
                <w:szCs w:val="24"/>
              </w:rPr>
            </w:pPr>
            <w:r w:rsidRPr="00C47E59">
              <w:rPr>
                <w:rFonts w:ascii="Calibri" w:hAnsi="Calibri"/>
                <w:sz w:val="24"/>
                <w:szCs w:val="24"/>
              </w:rPr>
              <w:t>Sono esenti, ovvero escluse dall’ambito di applicazione, le fattispecie di cui all’articolo 7 della legge provinciale n. 14 del 2014.</w:t>
            </w:r>
            <w:r>
              <w:rPr>
                <w:rFonts w:ascii="Calibri" w:hAnsi="Calibri"/>
                <w:sz w:val="24"/>
                <w:szCs w:val="24"/>
              </w:rPr>
              <w:t xml:space="preserve"> Per l’individuazione degli Enti strumentali comunali esclusi dall’ambito di applicazione ai sensi dell’articolo 7 comma 2 della legge provinciale n. 14 del 2014, si applica l’articolo 33 della legge provinciale n. 3 del 2006, ferma restando la compatibilità delle disposizioni previste da tale norma con lo Statuto ed i Regolamenti comunali, nonché con gli Statuti degli Enti stessi comunque denominati e con i provvedimenti amministrativi che ne disciplinano l’ordinamento ed il funzionamento.</w:t>
            </w:r>
          </w:p>
          <w:p w:rsidR="005A5E95" w:rsidRPr="00392740" w:rsidRDefault="005A5E95" w:rsidP="00A04B88">
            <w:pPr>
              <w:numPr>
                <w:ilvl w:val="0"/>
                <w:numId w:val="2"/>
              </w:numPr>
              <w:spacing w:before="120"/>
              <w:ind w:left="318"/>
              <w:jc w:val="both"/>
              <w:rPr>
                <w:rFonts w:ascii="Calibri" w:hAnsi="Calibri"/>
                <w:sz w:val="24"/>
                <w:szCs w:val="24"/>
              </w:rPr>
            </w:pPr>
            <w:r w:rsidRPr="00C47E59">
              <w:rPr>
                <w:rFonts w:ascii="Calibri" w:hAnsi="Calibri"/>
                <w:snapToGrid w:val="0"/>
                <w:sz w:val="24"/>
                <w:szCs w:val="24"/>
              </w:rPr>
              <w:t xml:space="preserve">Ai sensi dell’articolo 21 del Decreto Legislativo </w:t>
            </w:r>
            <w:r>
              <w:rPr>
                <w:rFonts w:ascii="Calibri" w:hAnsi="Calibri"/>
                <w:snapToGrid w:val="0"/>
                <w:sz w:val="24"/>
                <w:szCs w:val="24"/>
              </w:rPr>
              <w:t xml:space="preserve">n. 460 </w:t>
            </w:r>
            <w:r w:rsidRPr="00C47E59">
              <w:rPr>
                <w:rFonts w:ascii="Calibri" w:hAnsi="Calibri"/>
                <w:snapToGrid w:val="0"/>
                <w:sz w:val="24"/>
                <w:szCs w:val="24"/>
              </w:rPr>
              <w:t>del 1997 si considerano esenti gli immobili posseduti dalle Organizzazioni Non Lucrative di Utilità Sociale (O.N.L.U.S.) riconosciute come tali secondo le modalità di legge.</w:t>
            </w:r>
          </w:p>
          <w:p w:rsidR="005A5E95" w:rsidRPr="005A5E95" w:rsidRDefault="005A5E95" w:rsidP="00A04B88">
            <w:pPr>
              <w:numPr>
                <w:ilvl w:val="0"/>
                <w:numId w:val="2"/>
              </w:numPr>
              <w:spacing w:before="120"/>
              <w:ind w:left="318"/>
              <w:jc w:val="both"/>
              <w:rPr>
                <w:rFonts w:ascii="Calibri" w:hAnsi="Calibri"/>
                <w:sz w:val="24"/>
                <w:szCs w:val="24"/>
              </w:rPr>
            </w:pPr>
            <w:r w:rsidRPr="005A5E95">
              <w:rPr>
                <w:rFonts w:ascii="Calibri" w:hAnsi="Calibri"/>
                <w:snapToGrid w:val="0"/>
                <w:sz w:val="24"/>
                <w:szCs w:val="24"/>
              </w:rPr>
              <w:t>Ai sensi dell’art. 8 comma 2 lettera g bis della legge provinciale n. 14 del 2014 si considerano esenti le aree fabbricabili, comunque denominate, che in base alle norme di Attuazione del Piano Regolatore comunale consentono esclusivamente l’ampliamento volumetrico, anche solo potenziale, di fabbricati esistenti. L’esenzione non si applica alle aree edificabili, comunque denominate e di qualsiasi dimensione, che consentono in base alle norme di Attuazione stesse, la realizzazione anche solo potenziale di nuovi fabbricati.</w:t>
            </w:r>
          </w:p>
          <w:p w:rsidR="00503461" w:rsidRDefault="00503461" w:rsidP="005A5E95">
            <w:pPr>
              <w:pStyle w:val="Corpodeltesto21"/>
              <w:spacing w:before="120"/>
              <w:ind w:left="720" w:right="0"/>
              <w:rPr>
                <w:sz w:val="24"/>
                <w:szCs w:val="24"/>
              </w:rPr>
            </w:pPr>
          </w:p>
        </w:tc>
      </w:tr>
    </w:tbl>
    <w:p w:rsidR="00503461" w:rsidRDefault="00503461">
      <w:pPr>
        <w:rPr>
          <w:sz w:val="24"/>
          <w:szCs w:val="24"/>
        </w:rPr>
      </w:pPr>
    </w:p>
    <w:p w:rsidR="005A5E95" w:rsidRDefault="005A5E95" w:rsidP="005A5E95">
      <w:pPr>
        <w:pStyle w:val="Titolo1"/>
        <w:spacing w:before="480"/>
        <w:jc w:val="left"/>
        <w:rPr>
          <w:rFonts w:ascii="Calibri" w:hAnsi="Calibri"/>
          <w:spacing w:val="40"/>
          <w:u w:val="single"/>
        </w:rPr>
      </w:pPr>
      <w:bookmarkStart w:id="1" w:name="_Toc443645362"/>
      <w:bookmarkStart w:id="2" w:name="_Toc182891670"/>
      <w:bookmarkStart w:id="3" w:name="_Toc315422456"/>
      <w:r w:rsidRPr="00C47E59">
        <w:rPr>
          <w:rFonts w:ascii="Calibri" w:hAnsi="Calibri"/>
          <w:spacing w:val="40"/>
          <w:u w:val="single"/>
        </w:rPr>
        <w:t>ART. 5 Assimilazioni ad abitazione principale ed agevolazioni</w:t>
      </w:r>
      <w:bookmarkEnd w:id="1"/>
    </w:p>
    <w:p w:rsidR="005A5E95" w:rsidRPr="005A5E95" w:rsidRDefault="005A5E95" w:rsidP="005A5E95">
      <w:pPr>
        <w:rPr>
          <w:lang w:eastAsia="it-IT"/>
        </w:rPr>
      </w:pPr>
    </w:p>
    <w:tbl>
      <w:tblPr>
        <w:tblStyle w:val="Grigliatabella"/>
        <w:tblW w:w="0" w:type="auto"/>
        <w:tblLook w:val="04A0"/>
      </w:tblPr>
      <w:tblGrid>
        <w:gridCol w:w="4814"/>
        <w:gridCol w:w="4814"/>
      </w:tblGrid>
      <w:tr w:rsidR="00503461" w:rsidTr="00AC553B">
        <w:tc>
          <w:tcPr>
            <w:tcW w:w="4814" w:type="dxa"/>
          </w:tcPr>
          <w:bookmarkEnd w:id="2"/>
          <w:bookmarkEnd w:id="3"/>
          <w:p w:rsidR="00503461" w:rsidRDefault="00503461" w:rsidP="00AC553B">
            <w:pPr>
              <w:rPr>
                <w:sz w:val="24"/>
                <w:szCs w:val="24"/>
              </w:rPr>
            </w:pPr>
            <w:r>
              <w:rPr>
                <w:sz w:val="24"/>
                <w:szCs w:val="24"/>
              </w:rPr>
              <w:t>Precedente</w:t>
            </w:r>
          </w:p>
        </w:tc>
        <w:tc>
          <w:tcPr>
            <w:tcW w:w="4814" w:type="dxa"/>
          </w:tcPr>
          <w:p w:rsidR="00503461" w:rsidRDefault="00503461" w:rsidP="00AC553B">
            <w:pPr>
              <w:rPr>
                <w:sz w:val="24"/>
                <w:szCs w:val="24"/>
              </w:rPr>
            </w:pPr>
            <w:r>
              <w:rPr>
                <w:sz w:val="24"/>
                <w:szCs w:val="24"/>
              </w:rPr>
              <w:t>Nuovo</w:t>
            </w:r>
          </w:p>
        </w:tc>
      </w:tr>
      <w:tr w:rsidR="00503461" w:rsidRPr="000A4A52" w:rsidTr="000A4A52">
        <w:tc>
          <w:tcPr>
            <w:tcW w:w="4814" w:type="dxa"/>
          </w:tcPr>
          <w:p w:rsidR="005A5E95" w:rsidRPr="00C47E59" w:rsidRDefault="005A5E95" w:rsidP="005A5E95">
            <w:pPr>
              <w:numPr>
                <w:ilvl w:val="0"/>
                <w:numId w:val="5"/>
              </w:numPr>
              <w:spacing w:before="240"/>
              <w:jc w:val="both"/>
              <w:rPr>
                <w:rFonts w:ascii="Calibri" w:hAnsi="Calibri"/>
                <w:sz w:val="24"/>
                <w:szCs w:val="24"/>
              </w:rPr>
            </w:pPr>
            <w:r w:rsidRPr="00C47E59">
              <w:rPr>
                <w:rFonts w:ascii="Calibri" w:hAnsi="Calibri"/>
                <w:sz w:val="24"/>
                <w:szCs w:val="24"/>
              </w:rPr>
              <w:t xml:space="preserve">Sono assimilate ad abitazione principale, ai sensi dell’articolo 8 comma 2 della legge provinciale n. 14 del 2014, le seguenti fattispecie: </w:t>
            </w:r>
          </w:p>
          <w:p w:rsidR="00433ABA" w:rsidRDefault="005A5E95" w:rsidP="00433ABA">
            <w:pPr>
              <w:numPr>
                <w:ilvl w:val="2"/>
                <w:numId w:val="6"/>
              </w:numPr>
              <w:tabs>
                <w:tab w:val="num" w:pos="993"/>
              </w:tabs>
              <w:spacing w:before="120"/>
              <w:ind w:left="360" w:hanging="284"/>
              <w:jc w:val="both"/>
              <w:rPr>
                <w:rFonts w:ascii="Calibri" w:hAnsi="Calibri"/>
                <w:sz w:val="24"/>
                <w:szCs w:val="24"/>
              </w:rPr>
            </w:pPr>
            <w:r w:rsidRPr="00433ABA">
              <w:rPr>
                <w:rFonts w:ascii="Calibri" w:hAnsi="Calibri"/>
                <w:sz w:val="24"/>
                <w:szCs w:val="24"/>
              </w:rPr>
              <w:t>L’unità immobiliare posseduta a titolo di proprietà, usufrutto o diritto di abitazione da anziani o disabili che acquisiscono la residenza in istituti di ricovero o sanitari a seguito di ricovero permanente, a condizione che la stessa non risulti locata. L’assimilazione si applica anche alle eventuali pertinenze, nella misura massima di due unità complessive classificate nelle categorie catastali C2, C6 o C7.</w:t>
            </w:r>
          </w:p>
          <w:p w:rsidR="001E6931" w:rsidRDefault="001E6931" w:rsidP="001E6931">
            <w:pPr>
              <w:spacing w:before="120"/>
              <w:ind w:left="76"/>
              <w:jc w:val="both"/>
              <w:rPr>
                <w:rFonts w:ascii="Calibri" w:hAnsi="Calibri"/>
                <w:sz w:val="24"/>
                <w:szCs w:val="24"/>
              </w:rPr>
            </w:pPr>
          </w:p>
          <w:p w:rsidR="001E6931" w:rsidRDefault="001E6931" w:rsidP="001E6931">
            <w:pPr>
              <w:spacing w:before="120"/>
              <w:ind w:left="76"/>
              <w:jc w:val="both"/>
              <w:rPr>
                <w:rFonts w:ascii="Calibri" w:hAnsi="Calibri"/>
                <w:sz w:val="24"/>
                <w:szCs w:val="24"/>
              </w:rPr>
            </w:pPr>
          </w:p>
          <w:p w:rsidR="001E6931" w:rsidRDefault="001E6931" w:rsidP="001E6931">
            <w:pPr>
              <w:spacing w:before="120"/>
              <w:ind w:left="76"/>
              <w:jc w:val="both"/>
              <w:rPr>
                <w:rFonts w:ascii="Calibri" w:hAnsi="Calibri"/>
                <w:sz w:val="24"/>
                <w:szCs w:val="24"/>
              </w:rPr>
            </w:pPr>
          </w:p>
          <w:p w:rsidR="001E6931" w:rsidRDefault="001E6931" w:rsidP="001E6931">
            <w:pPr>
              <w:spacing w:before="120"/>
              <w:ind w:left="76"/>
              <w:jc w:val="both"/>
              <w:rPr>
                <w:rFonts w:ascii="Calibri" w:hAnsi="Calibri"/>
                <w:sz w:val="24"/>
                <w:szCs w:val="24"/>
              </w:rPr>
            </w:pPr>
          </w:p>
          <w:p w:rsidR="001E6931" w:rsidRDefault="001E6931" w:rsidP="001E6931">
            <w:pPr>
              <w:spacing w:before="120"/>
              <w:ind w:left="76"/>
              <w:jc w:val="both"/>
              <w:rPr>
                <w:rFonts w:ascii="Calibri" w:hAnsi="Calibri"/>
                <w:sz w:val="24"/>
                <w:szCs w:val="24"/>
              </w:rPr>
            </w:pPr>
          </w:p>
          <w:p w:rsidR="001E6931" w:rsidRDefault="001E6931" w:rsidP="001E6931">
            <w:pPr>
              <w:spacing w:before="120"/>
              <w:ind w:left="76"/>
              <w:jc w:val="both"/>
              <w:rPr>
                <w:rFonts w:ascii="Calibri" w:hAnsi="Calibri"/>
                <w:sz w:val="24"/>
                <w:szCs w:val="24"/>
              </w:rPr>
            </w:pPr>
          </w:p>
          <w:p w:rsidR="001E6931" w:rsidRDefault="001E6931" w:rsidP="001E6931">
            <w:pPr>
              <w:spacing w:before="120"/>
              <w:ind w:left="76"/>
              <w:jc w:val="both"/>
              <w:rPr>
                <w:rFonts w:ascii="Calibri" w:hAnsi="Calibri"/>
                <w:sz w:val="24"/>
                <w:szCs w:val="24"/>
              </w:rPr>
            </w:pPr>
          </w:p>
          <w:p w:rsidR="001E6931" w:rsidRDefault="001E6931" w:rsidP="001E6931">
            <w:pPr>
              <w:spacing w:before="120"/>
              <w:ind w:left="76"/>
              <w:jc w:val="both"/>
              <w:rPr>
                <w:rFonts w:ascii="Calibri" w:hAnsi="Calibri"/>
                <w:sz w:val="24"/>
                <w:szCs w:val="24"/>
              </w:rPr>
            </w:pPr>
          </w:p>
          <w:p w:rsidR="001E6931" w:rsidRDefault="001E6931" w:rsidP="001E6931">
            <w:pPr>
              <w:spacing w:before="120"/>
              <w:ind w:left="76"/>
              <w:jc w:val="both"/>
              <w:rPr>
                <w:rFonts w:ascii="Calibri" w:hAnsi="Calibri"/>
                <w:sz w:val="24"/>
                <w:szCs w:val="24"/>
              </w:rPr>
            </w:pPr>
          </w:p>
          <w:p w:rsidR="001E6931" w:rsidRDefault="001E6931" w:rsidP="001E6931">
            <w:pPr>
              <w:spacing w:before="120"/>
              <w:ind w:left="76"/>
              <w:jc w:val="both"/>
              <w:rPr>
                <w:rFonts w:ascii="Calibri" w:hAnsi="Calibri"/>
                <w:sz w:val="24"/>
                <w:szCs w:val="24"/>
              </w:rPr>
            </w:pPr>
          </w:p>
          <w:p w:rsidR="0039553A" w:rsidRDefault="005A5E95" w:rsidP="00433ABA">
            <w:pPr>
              <w:numPr>
                <w:ilvl w:val="2"/>
                <w:numId w:val="6"/>
              </w:numPr>
              <w:tabs>
                <w:tab w:val="num" w:pos="993"/>
              </w:tabs>
              <w:spacing w:before="120"/>
              <w:ind w:left="360" w:hanging="284"/>
              <w:jc w:val="both"/>
              <w:rPr>
                <w:rFonts w:ascii="Calibri" w:hAnsi="Calibri"/>
                <w:sz w:val="24"/>
                <w:szCs w:val="24"/>
              </w:rPr>
            </w:pPr>
            <w:r w:rsidRPr="00433ABA">
              <w:rPr>
                <w:rFonts w:ascii="Calibri" w:hAnsi="Calibri"/>
                <w:sz w:val="24"/>
                <w:szCs w:val="24"/>
              </w:rPr>
              <w:t>L’unica unità immobiliare abitativa posseduta dai cittadini italiani non residenti nel territorio dello Stato, e che abbiano maturato nel paese di residenza il diritto alla pensione, a titolo di proprietà o di usufrutto in Italia, a condizione che non risulti locata o data in comodato d’uso.</w:t>
            </w:r>
          </w:p>
          <w:p w:rsidR="001B590D" w:rsidRDefault="001B590D" w:rsidP="001B590D">
            <w:pPr>
              <w:pStyle w:val="Paragrafoelenco"/>
              <w:spacing w:before="120"/>
              <w:ind w:left="313"/>
              <w:jc w:val="both"/>
              <w:rPr>
                <w:rFonts w:ascii="Calibri" w:hAnsi="Calibri"/>
                <w:sz w:val="24"/>
                <w:szCs w:val="24"/>
              </w:rPr>
            </w:pPr>
          </w:p>
          <w:p w:rsidR="001B590D" w:rsidRDefault="001B590D" w:rsidP="001B590D">
            <w:pPr>
              <w:pStyle w:val="Paragrafoelenco"/>
              <w:spacing w:before="120"/>
              <w:ind w:left="313"/>
              <w:jc w:val="both"/>
              <w:rPr>
                <w:rFonts w:ascii="Calibri" w:hAnsi="Calibri"/>
                <w:sz w:val="24"/>
                <w:szCs w:val="24"/>
              </w:rPr>
            </w:pPr>
          </w:p>
          <w:p w:rsidR="001B590D" w:rsidRDefault="001B590D" w:rsidP="001B590D">
            <w:pPr>
              <w:pStyle w:val="Paragrafoelenco"/>
              <w:spacing w:before="120"/>
              <w:ind w:left="313"/>
              <w:jc w:val="both"/>
              <w:rPr>
                <w:rFonts w:ascii="Calibri" w:hAnsi="Calibri"/>
                <w:sz w:val="24"/>
                <w:szCs w:val="24"/>
              </w:rPr>
            </w:pPr>
          </w:p>
          <w:p w:rsidR="001B590D" w:rsidRDefault="001B590D" w:rsidP="001B590D">
            <w:pPr>
              <w:pStyle w:val="Paragrafoelenco"/>
              <w:spacing w:before="120"/>
              <w:ind w:left="313"/>
              <w:jc w:val="both"/>
              <w:rPr>
                <w:rFonts w:ascii="Calibri" w:hAnsi="Calibri"/>
                <w:sz w:val="24"/>
                <w:szCs w:val="24"/>
              </w:rPr>
            </w:pPr>
          </w:p>
          <w:p w:rsidR="005A5E95" w:rsidRPr="001B590D" w:rsidRDefault="005A5E95" w:rsidP="001B590D">
            <w:pPr>
              <w:pStyle w:val="Paragrafoelenco"/>
              <w:numPr>
                <w:ilvl w:val="0"/>
                <w:numId w:val="6"/>
              </w:numPr>
              <w:tabs>
                <w:tab w:val="num" w:pos="993"/>
              </w:tabs>
              <w:spacing w:before="120"/>
              <w:ind w:left="313"/>
              <w:jc w:val="both"/>
              <w:rPr>
                <w:rFonts w:ascii="Calibri" w:hAnsi="Calibri"/>
                <w:sz w:val="24"/>
                <w:szCs w:val="24"/>
              </w:rPr>
            </w:pPr>
            <w:r w:rsidRPr="001B590D">
              <w:rPr>
                <w:rFonts w:ascii="Calibri" w:hAnsi="Calibri"/>
                <w:sz w:val="24"/>
                <w:szCs w:val="24"/>
              </w:rPr>
              <w:t xml:space="preserve"> Le assimilazioni di cui al comma 1 sono riconosciute a seguito di presentazione di specifica comunicazione presentata </w:t>
            </w:r>
            <w:r w:rsidRPr="001B590D">
              <w:rPr>
                <w:rFonts w:ascii="Calibri" w:hAnsi="Calibri"/>
                <w:sz w:val="24"/>
                <w:szCs w:val="24"/>
              </w:rPr>
              <w:lastRenderedPageBreak/>
              <w:t>secondo le modalità di cui all’articolo 7.</w:t>
            </w:r>
          </w:p>
          <w:p w:rsidR="001E6931" w:rsidRPr="001E6931" w:rsidRDefault="001E6931" w:rsidP="001E6931">
            <w:pPr>
              <w:spacing w:before="120"/>
              <w:jc w:val="both"/>
              <w:rPr>
                <w:rFonts w:ascii="Calibri" w:hAnsi="Calibri"/>
                <w:color w:val="000000"/>
                <w:sz w:val="24"/>
                <w:szCs w:val="24"/>
              </w:rPr>
            </w:pPr>
          </w:p>
          <w:p w:rsidR="005A5E95" w:rsidRPr="001B590D" w:rsidRDefault="005A5E95" w:rsidP="001B590D">
            <w:pPr>
              <w:pStyle w:val="Paragrafoelenco"/>
              <w:numPr>
                <w:ilvl w:val="0"/>
                <w:numId w:val="6"/>
              </w:numPr>
              <w:spacing w:before="120"/>
              <w:jc w:val="both"/>
              <w:rPr>
                <w:rFonts w:ascii="Calibri" w:hAnsi="Calibri"/>
                <w:color w:val="000000"/>
                <w:sz w:val="24"/>
                <w:szCs w:val="24"/>
              </w:rPr>
            </w:pPr>
            <w:r w:rsidRPr="001B590D">
              <w:rPr>
                <w:rFonts w:ascii="Calibri" w:hAnsi="Calibri"/>
                <w:sz w:val="24"/>
                <w:szCs w:val="24"/>
              </w:rPr>
              <w:t>Sono comunque assimilate ad abitazione principale le fattispecie di cui all’articolo 5 comma 2 lettera b) della legge provinciale n. 14 del 2014,</w:t>
            </w:r>
            <w:r w:rsidRPr="001B590D">
              <w:rPr>
                <w:rFonts w:ascii="Calibri" w:hAnsi="Calibri"/>
                <w:color w:val="000000"/>
                <w:sz w:val="24"/>
                <w:szCs w:val="24"/>
              </w:rPr>
              <w:t xml:space="preserve"> di seguito specificate:</w:t>
            </w:r>
          </w:p>
          <w:p w:rsidR="005A5E95" w:rsidRPr="004F51F7" w:rsidRDefault="005A5E95" w:rsidP="005A5E95">
            <w:pPr>
              <w:pStyle w:val="Paragrafoelenco"/>
              <w:numPr>
                <w:ilvl w:val="1"/>
                <w:numId w:val="23"/>
              </w:numPr>
              <w:spacing w:before="100" w:beforeAutospacing="1"/>
              <w:contextualSpacing w:val="0"/>
              <w:jc w:val="both"/>
              <w:rPr>
                <w:rFonts w:ascii="Calibri" w:hAnsi="Calibri"/>
                <w:color w:val="000000"/>
                <w:sz w:val="24"/>
                <w:szCs w:val="24"/>
              </w:rPr>
            </w:pPr>
            <w:r w:rsidRPr="004F51F7">
              <w:rPr>
                <w:rFonts w:ascii="Calibri" w:hAnsi="Calibri"/>
                <w:color w:val="000000"/>
                <w:sz w:val="24"/>
                <w:szCs w:val="24"/>
              </w:rPr>
              <w:t>le unità immobiliari possedute dalle cooperative edilizie a proprietà indivisa adibite ad abitazione principale dei soci assegnatari e le relative pertinenze;</w:t>
            </w:r>
          </w:p>
          <w:p w:rsidR="005A5E95" w:rsidRPr="004F51F7" w:rsidRDefault="005A5E95" w:rsidP="005A5E95">
            <w:pPr>
              <w:pStyle w:val="Paragrafoelenco"/>
              <w:numPr>
                <w:ilvl w:val="1"/>
                <w:numId w:val="23"/>
              </w:numPr>
              <w:contextualSpacing w:val="0"/>
              <w:jc w:val="both"/>
              <w:rPr>
                <w:rFonts w:ascii="Calibri" w:hAnsi="Calibri"/>
                <w:color w:val="000000"/>
                <w:sz w:val="24"/>
                <w:szCs w:val="24"/>
              </w:rPr>
            </w:pPr>
            <w:r w:rsidRPr="004F51F7">
              <w:rPr>
                <w:rFonts w:ascii="Calibri" w:hAnsi="Calibri"/>
                <w:color w:val="000000"/>
                <w:sz w:val="24"/>
                <w:szCs w:val="24"/>
              </w:rPr>
              <w:t>la casa coniugale assegnata al coniuge in seguito a provvedimento di separazione legale, annullamento, scioglimento o cessazione degli effetti civili del matrimonio;</w:t>
            </w:r>
          </w:p>
          <w:p w:rsidR="005A5E95" w:rsidRPr="004F51F7" w:rsidRDefault="005A5E95" w:rsidP="005A5E95">
            <w:pPr>
              <w:pStyle w:val="Paragrafoelenco"/>
              <w:numPr>
                <w:ilvl w:val="1"/>
                <w:numId w:val="23"/>
              </w:numPr>
              <w:contextualSpacing w:val="0"/>
              <w:jc w:val="both"/>
              <w:rPr>
                <w:rFonts w:ascii="Calibri" w:hAnsi="Calibri"/>
                <w:color w:val="000000"/>
                <w:sz w:val="24"/>
                <w:szCs w:val="24"/>
              </w:rPr>
            </w:pPr>
            <w:r w:rsidRPr="004F51F7">
              <w:rPr>
                <w:rFonts w:ascii="Calibri" w:hAnsi="Calibri"/>
                <w:color w:val="000000"/>
                <w:sz w:val="24"/>
                <w:szCs w:val="24"/>
              </w:rPr>
              <w:t>il fabbricato abitativo assegnato al genitore cui un provvedimento giudiziale ha riconosciuto l’affidamento dei figli, dove questi fissa la dimora abituale e la residenza anagrafica;</w:t>
            </w:r>
          </w:p>
          <w:p w:rsidR="005A5E95" w:rsidRPr="004F51F7" w:rsidRDefault="005A5E95" w:rsidP="005A5E95">
            <w:pPr>
              <w:pStyle w:val="Paragrafoelenco"/>
              <w:numPr>
                <w:ilvl w:val="1"/>
                <w:numId w:val="23"/>
              </w:numPr>
              <w:contextualSpacing w:val="0"/>
              <w:jc w:val="both"/>
              <w:rPr>
                <w:rFonts w:ascii="Calibri" w:hAnsi="Calibri"/>
                <w:color w:val="000000"/>
                <w:sz w:val="24"/>
                <w:szCs w:val="24"/>
              </w:rPr>
            </w:pPr>
            <w:r w:rsidRPr="004F51F7">
              <w:rPr>
                <w:rFonts w:ascii="Calibri" w:hAnsi="Calibri"/>
                <w:color w:val="000000"/>
                <w:sz w:val="24"/>
                <w:szCs w:val="24"/>
              </w:rPr>
              <w:t>il fabbricato posseduto e non concesso in locazione dal personale in servizio permanente appartenente alle forze armate e alle forze di polizia a ordinamento militare, dal personale dipendente delle forze di polizia a ordinamento civile, dal personale del corpo nazionale dei vigili del fuoco e, fatto salvo quanto previsto ai sensi dell’articolo 28, comma 1, lettera h), del decreto legislativo 19 maggio 2000, n. 139 (Disposizioni in materia di rapporto di impiego del personale della carriera prefettizia, a norma dell’articolo 10 della legge 28 luglio 1999, n. 266), dal personale appartenente alla carriera prefettizia, per il quale non sono richieste le condizioni della dimora abituale e della residenza anagrafica.</w:t>
            </w:r>
          </w:p>
          <w:p w:rsidR="00E75EAC" w:rsidRDefault="00E75EAC" w:rsidP="00E75EAC">
            <w:pPr>
              <w:spacing w:before="120"/>
              <w:ind w:left="360"/>
              <w:jc w:val="both"/>
              <w:rPr>
                <w:rFonts w:ascii="Calibri" w:hAnsi="Calibri"/>
                <w:sz w:val="24"/>
                <w:szCs w:val="24"/>
              </w:rPr>
            </w:pPr>
          </w:p>
          <w:p w:rsidR="00E75EAC" w:rsidRDefault="00E75EAC" w:rsidP="00E75EAC">
            <w:pPr>
              <w:spacing w:before="120"/>
              <w:ind w:left="360"/>
              <w:jc w:val="both"/>
              <w:rPr>
                <w:rFonts w:ascii="Calibri" w:hAnsi="Calibri"/>
                <w:sz w:val="24"/>
                <w:szCs w:val="24"/>
              </w:rPr>
            </w:pPr>
          </w:p>
          <w:p w:rsidR="005A5E95" w:rsidRPr="001B590D" w:rsidRDefault="005A5E95" w:rsidP="001B590D">
            <w:pPr>
              <w:pStyle w:val="Paragrafoelenco"/>
              <w:numPr>
                <w:ilvl w:val="0"/>
                <w:numId w:val="6"/>
              </w:numPr>
              <w:spacing w:before="120"/>
              <w:jc w:val="both"/>
              <w:rPr>
                <w:rFonts w:ascii="Calibri" w:hAnsi="Calibri"/>
                <w:sz w:val="24"/>
                <w:szCs w:val="24"/>
              </w:rPr>
            </w:pPr>
            <w:r w:rsidRPr="001B590D">
              <w:rPr>
                <w:rFonts w:ascii="Calibri" w:hAnsi="Calibri"/>
                <w:sz w:val="24"/>
                <w:szCs w:val="24"/>
              </w:rPr>
              <w:lastRenderedPageBreak/>
              <w:t>La base imponibile dell’IM.I.S. è ridotta del 50% per le fattispecie di cui all’articolo 7 comma 3 della legge provinciale n. 14 del 2014 e quindi:</w:t>
            </w:r>
          </w:p>
          <w:p w:rsidR="005A5E95" w:rsidRPr="00C47E59" w:rsidRDefault="005A5E95" w:rsidP="005A5E95">
            <w:pPr>
              <w:spacing w:before="120"/>
              <w:ind w:left="993" w:hanging="284"/>
              <w:jc w:val="both"/>
              <w:rPr>
                <w:rFonts w:ascii="Calibri" w:hAnsi="Calibri"/>
                <w:sz w:val="24"/>
                <w:szCs w:val="24"/>
              </w:rPr>
            </w:pPr>
            <w:r>
              <w:rPr>
                <w:rFonts w:ascii="Calibri" w:hAnsi="Calibri"/>
                <w:sz w:val="24"/>
                <w:szCs w:val="24"/>
              </w:rPr>
              <w:t xml:space="preserve">a) </w:t>
            </w:r>
            <w:r w:rsidRPr="00C47E59">
              <w:rPr>
                <w:rFonts w:ascii="Calibri" w:hAnsi="Calibri"/>
                <w:sz w:val="24"/>
                <w:szCs w:val="24"/>
              </w:rPr>
              <w:t>i fabbricati d'interesse storico o artistico indicati nell'articolo 10 del decreto legislativo n. 42 del 2004 iscritti con quest'indicazione nel libro fondiario</w:t>
            </w:r>
            <w:r>
              <w:rPr>
                <w:rFonts w:ascii="Calibri" w:hAnsi="Calibri"/>
                <w:sz w:val="24"/>
                <w:szCs w:val="24"/>
              </w:rPr>
              <w:t>, ovvero quelli privi di iscrizione nel libro fondiario ma notificati ai sensi della legge n. 364 del 1909</w:t>
            </w:r>
            <w:r w:rsidRPr="00C47E59">
              <w:rPr>
                <w:rFonts w:ascii="Calibri" w:hAnsi="Calibri"/>
                <w:sz w:val="24"/>
                <w:szCs w:val="24"/>
              </w:rPr>
              <w:t>;</w:t>
            </w:r>
          </w:p>
          <w:p w:rsidR="005A5E95" w:rsidRDefault="005A5E95" w:rsidP="005A5E95">
            <w:pPr>
              <w:spacing w:before="120"/>
              <w:ind w:left="993" w:hanging="284"/>
              <w:jc w:val="both"/>
              <w:rPr>
                <w:rFonts w:ascii="Calibri" w:hAnsi="Calibri"/>
                <w:sz w:val="24"/>
                <w:szCs w:val="24"/>
              </w:rPr>
            </w:pPr>
            <w:r>
              <w:rPr>
                <w:rFonts w:ascii="Calibri" w:hAnsi="Calibri"/>
                <w:sz w:val="24"/>
                <w:szCs w:val="24"/>
              </w:rPr>
              <w:t xml:space="preserve">b) </w:t>
            </w:r>
            <w:r w:rsidRPr="00C47E59">
              <w:rPr>
                <w:rFonts w:ascii="Calibri" w:hAnsi="Calibri"/>
                <w:sz w:val="24"/>
                <w:szCs w:val="24"/>
              </w:rPr>
              <w:t>i fabbricati riconosciuti come inagibili e inabitabili secondo i criteri parametri di cui all’articolo 6.</w:t>
            </w:r>
          </w:p>
          <w:p w:rsidR="00503461" w:rsidRDefault="00503461" w:rsidP="005A5E95">
            <w:pPr>
              <w:spacing w:before="240"/>
              <w:ind w:left="360"/>
              <w:jc w:val="both"/>
              <w:rPr>
                <w:sz w:val="24"/>
                <w:szCs w:val="24"/>
              </w:rPr>
            </w:pPr>
          </w:p>
        </w:tc>
        <w:tc>
          <w:tcPr>
            <w:tcW w:w="4814" w:type="dxa"/>
            <w:shd w:val="clear" w:color="auto" w:fill="auto"/>
          </w:tcPr>
          <w:p w:rsidR="001E6931" w:rsidRDefault="00E75EAC" w:rsidP="00433ABA">
            <w:pPr>
              <w:pStyle w:val="Paragrafoelenco"/>
              <w:numPr>
                <w:ilvl w:val="0"/>
                <w:numId w:val="25"/>
              </w:numPr>
              <w:spacing w:before="240"/>
              <w:ind w:left="176"/>
              <w:jc w:val="both"/>
              <w:rPr>
                <w:rFonts w:ascii="Calibri" w:hAnsi="Calibri"/>
                <w:sz w:val="24"/>
                <w:szCs w:val="24"/>
              </w:rPr>
            </w:pPr>
            <w:r>
              <w:rPr>
                <w:rFonts w:ascii="Calibri" w:hAnsi="Calibri"/>
                <w:sz w:val="24"/>
                <w:szCs w:val="24"/>
              </w:rPr>
              <w:lastRenderedPageBreak/>
              <w:t xml:space="preserve">1. </w:t>
            </w:r>
            <w:r w:rsidR="000A4A52" w:rsidRPr="001E6931">
              <w:rPr>
                <w:rFonts w:ascii="Calibri" w:hAnsi="Calibri"/>
                <w:sz w:val="24"/>
                <w:szCs w:val="24"/>
              </w:rPr>
              <w:t xml:space="preserve">Sono assimilate ad abitazione principale, ai sensi dell’articolo 8 comma 2 della legge provinciale n. 14 del 2014, le seguenti fattispecie: </w:t>
            </w:r>
          </w:p>
          <w:p w:rsidR="000A4A52" w:rsidRPr="006F6E5C" w:rsidRDefault="000A4A52" w:rsidP="006F6E5C">
            <w:pPr>
              <w:spacing w:before="240"/>
              <w:ind w:left="176"/>
              <w:jc w:val="both"/>
              <w:rPr>
                <w:rFonts w:ascii="Calibri" w:hAnsi="Calibri"/>
                <w:sz w:val="24"/>
                <w:szCs w:val="24"/>
              </w:rPr>
            </w:pPr>
            <w:r w:rsidRPr="006F6E5C">
              <w:rPr>
                <w:rFonts w:ascii="Calibri" w:hAnsi="Calibri"/>
                <w:sz w:val="24"/>
                <w:szCs w:val="24"/>
              </w:rPr>
              <w:t>a)</w:t>
            </w:r>
            <w:r w:rsidR="00433ABA" w:rsidRPr="006F6E5C">
              <w:rPr>
                <w:rFonts w:ascii="Calibri" w:hAnsi="Calibri"/>
                <w:sz w:val="24"/>
                <w:szCs w:val="24"/>
              </w:rPr>
              <w:t xml:space="preserve"> </w:t>
            </w:r>
            <w:r w:rsidRPr="006F6E5C">
              <w:rPr>
                <w:rFonts w:ascii="Calibri" w:hAnsi="Calibri"/>
                <w:sz w:val="24"/>
                <w:szCs w:val="24"/>
              </w:rPr>
              <w:t>L’unità immobiliare posseduta a titolo di proprietà, usufrutto o diritto di abitazione da anziani o disabili che acquisiscono la residenza in istituti di ricovero o sanitari a seguito di ricovero permanente, a condizione che la stessa non risulti locata. L’assimilazione è subordinata al verificarsi della circostanza per la quale l’unità immobiliare sia utilizzata, anche in modo disgiunto:</w:t>
            </w:r>
          </w:p>
          <w:p w:rsidR="000A4A52" w:rsidRPr="00E365C5" w:rsidRDefault="000A4A52" w:rsidP="006F6E5C">
            <w:pPr>
              <w:pStyle w:val="Paragrafoelenco"/>
              <w:numPr>
                <w:ilvl w:val="0"/>
                <w:numId w:val="29"/>
              </w:numPr>
              <w:spacing w:before="240"/>
              <w:ind w:left="602"/>
              <w:jc w:val="both"/>
              <w:rPr>
                <w:rFonts w:ascii="Calibri" w:hAnsi="Calibri"/>
                <w:sz w:val="24"/>
                <w:szCs w:val="24"/>
              </w:rPr>
            </w:pPr>
            <w:r w:rsidRPr="00E365C5">
              <w:rPr>
                <w:rFonts w:ascii="Calibri" w:hAnsi="Calibri"/>
                <w:sz w:val="24"/>
                <w:szCs w:val="24"/>
              </w:rPr>
              <w:t>dal coniuge o parenti ed affini entro il primo grado, del possessore che in essa pongano la residenza, purché ciò avvenga a titolo non oneroso;</w:t>
            </w:r>
          </w:p>
          <w:p w:rsidR="000A4A52" w:rsidRPr="00A04B88" w:rsidRDefault="000A4A52" w:rsidP="006F6E5C">
            <w:pPr>
              <w:pStyle w:val="Paragrafoelenco"/>
              <w:numPr>
                <w:ilvl w:val="0"/>
                <w:numId w:val="29"/>
              </w:numPr>
              <w:spacing w:before="240"/>
              <w:ind w:left="602"/>
              <w:jc w:val="both"/>
              <w:rPr>
                <w:rFonts w:ascii="Calibri" w:hAnsi="Calibri"/>
                <w:sz w:val="24"/>
                <w:szCs w:val="24"/>
              </w:rPr>
            </w:pPr>
            <w:r w:rsidRPr="00A04B88">
              <w:rPr>
                <w:rFonts w:ascii="Calibri" w:hAnsi="Calibri"/>
                <w:sz w:val="24"/>
                <w:szCs w:val="24"/>
              </w:rPr>
              <w:t xml:space="preserve">da chiunque ed a qualsiasi scopo diverso da quelli di cui al punto 1, compresa la semplice tenuta a disposizione , purché ciò avvenga a titolo non oneroso </w:t>
            </w:r>
          </w:p>
          <w:p w:rsidR="00433ABA" w:rsidRDefault="000A4A52" w:rsidP="00433ABA">
            <w:pPr>
              <w:spacing w:before="240"/>
              <w:ind w:left="602"/>
              <w:jc w:val="both"/>
              <w:rPr>
                <w:rFonts w:ascii="Calibri" w:hAnsi="Calibri"/>
                <w:sz w:val="24"/>
                <w:szCs w:val="24"/>
              </w:rPr>
            </w:pPr>
            <w:r w:rsidRPr="00E365C5">
              <w:rPr>
                <w:rFonts w:ascii="Calibri" w:hAnsi="Calibri"/>
                <w:sz w:val="24"/>
                <w:szCs w:val="24"/>
              </w:rPr>
              <w:t>L’assimilazione si applica anche alle eventuali pertinenze, nella misura massima di due unità complessive classificate nelle categorie catastali C2, C6 o C7.</w:t>
            </w:r>
          </w:p>
          <w:p w:rsidR="001B590D" w:rsidRDefault="00433ABA" w:rsidP="00433ABA">
            <w:pPr>
              <w:spacing w:before="240"/>
              <w:ind w:left="176"/>
              <w:jc w:val="both"/>
              <w:rPr>
                <w:rFonts w:ascii="Calibri" w:hAnsi="Calibri"/>
                <w:sz w:val="24"/>
                <w:szCs w:val="24"/>
              </w:rPr>
            </w:pPr>
            <w:r>
              <w:rPr>
                <w:rFonts w:ascii="Calibri" w:hAnsi="Calibri"/>
                <w:sz w:val="24"/>
                <w:szCs w:val="24"/>
              </w:rPr>
              <w:t xml:space="preserve">b) </w:t>
            </w:r>
            <w:r w:rsidR="000A4A52" w:rsidRPr="00E365C5">
              <w:rPr>
                <w:rFonts w:ascii="Calibri" w:hAnsi="Calibri"/>
                <w:sz w:val="24"/>
                <w:szCs w:val="24"/>
              </w:rPr>
              <w:t xml:space="preserve">L’unica unità immobiliare abitativa posseduta dai cittadini italiani non residenti nel territorio dello Stato, e che abbiano maturato nel paese di residenza il diritto alla pensione, a titolo di proprietà o di usufrutto in Italia, a condizione che non risulti locata o data in comodato d’uso. L’assimilazione si applica anche alle eventuali pertinenze, nella misura massima di due unità complessive classificate nelle categorie catastali C2, C6 </w:t>
            </w:r>
            <w:r w:rsidR="003C66E9">
              <w:rPr>
                <w:rFonts w:ascii="Calibri" w:hAnsi="Calibri"/>
                <w:sz w:val="24"/>
                <w:szCs w:val="24"/>
              </w:rPr>
              <w:t>o</w:t>
            </w:r>
            <w:bookmarkStart w:id="4" w:name="_GoBack"/>
            <w:bookmarkEnd w:id="4"/>
            <w:r w:rsidR="000A4A52" w:rsidRPr="00E365C5">
              <w:rPr>
                <w:rFonts w:ascii="Calibri" w:hAnsi="Calibri"/>
                <w:sz w:val="24"/>
                <w:szCs w:val="24"/>
              </w:rPr>
              <w:t xml:space="preserve"> C7.</w:t>
            </w:r>
            <w:r w:rsidR="00E365C5">
              <w:rPr>
                <w:rFonts w:ascii="Calibri" w:hAnsi="Calibri"/>
                <w:sz w:val="24"/>
                <w:szCs w:val="24"/>
              </w:rPr>
              <w:t xml:space="preserve"> </w:t>
            </w:r>
          </w:p>
          <w:p w:rsidR="000A4A52" w:rsidRPr="00E365C5" w:rsidRDefault="001B590D" w:rsidP="00433ABA">
            <w:pPr>
              <w:spacing w:before="240"/>
              <w:ind w:left="176"/>
              <w:jc w:val="both"/>
              <w:rPr>
                <w:rFonts w:ascii="Calibri" w:hAnsi="Calibri"/>
                <w:sz w:val="24"/>
                <w:szCs w:val="24"/>
              </w:rPr>
            </w:pPr>
            <w:r>
              <w:rPr>
                <w:rFonts w:ascii="Calibri" w:hAnsi="Calibri"/>
                <w:sz w:val="24"/>
                <w:szCs w:val="24"/>
              </w:rPr>
              <w:t xml:space="preserve">2  </w:t>
            </w:r>
            <w:r w:rsidR="000A4A52" w:rsidRPr="00E365C5">
              <w:rPr>
                <w:rFonts w:ascii="Calibri" w:hAnsi="Calibri"/>
                <w:sz w:val="24"/>
                <w:szCs w:val="24"/>
              </w:rPr>
              <w:t xml:space="preserve">Le assimilazioni di cui al comma </w:t>
            </w:r>
            <w:r>
              <w:rPr>
                <w:rFonts w:ascii="Calibri" w:hAnsi="Calibri"/>
                <w:sz w:val="24"/>
                <w:szCs w:val="24"/>
              </w:rPr>
              <w:t>1</w:t>
            </w:r>
            <w:r w:rsidR="000A4A52" w:rsidRPr="00E365C5">
              <w:rPr>
                <w:rFonts w:ascii="Calibri" w:hAnsi="Calibri"/>
                <w:sz w:val="24"/>
                <w:szCs w:val="24"/>
              </w:rPr>
              <w:t xml:space="preserve"> sono </w:t>
            </w:r>
            <w:r w:rsidR="000A4A52" w:rsidRPr="00E365C5">
              <w:rPr>
                <w:rFonts w:ascii="Calibri" w:hAnsi="Calibri"/>
                <w:sz w:val="24"/>
                <w:szCs w:val="24"/>
              </w:rPr>
              <w:lastRenderedPageBreak/>
              <w:t>riconosciute a seguito di presentazione di specifica comunicazione presentata secondo le modalità di cui all’articolo 7.</w:t>
            </w:r>
          </w:p>
          <w:p w:rsidR="001B590D" w:rsidRDefault="001B590D" w:rsidP="00E365C5">
            <w:pPr>
              <w:spacing w:before="120"/>
              <w:ind w:left="360"/>
              <w:jc w:val="both"/>
              <w:rPr>
                <w:rFonts w:ascii="Calibri" w:hAnsi="Calibri"/>
                <w:sz w:val="24"/>
                <w:szCs w:val="24"/>
              </w:rPr>
            </w:pPr>
          </w:p>
          <w:p w:rsidR="000A4A52" w:rsidRPr="001B590D" w:rsidRDefault="00E365C5" w:rsidP="001B590D">
            <w:pPr>
              <w:pStyle w:val="Paragrafoelenco"/>
              <w:numPr>
                <w:ilvl w:val="0"/>
                <w:numId w:val="25"/>
              </w:numPr>
              <w:spacing w:before="120"/>
              <w:jc w:val="both"/>
              <w:rPr>
                <w:rFonts w:ascii="Calibri" w:hAnsi="Calibri"/>
                <w:color w:val="000000"/>
                <w:sz w:val="24"/>
                <w:szCs w:val="24"/>
              </w:rPr>
            </w:pPr>
            <w:r w:rsidRPr="001B590D">
              <w:rPr>
                <w:rFonts w:ascii="Calibri" w:hAnsi="Calibri"/>
                <w:sz w:val="24"/>
                <w:szCs w:val="24"/>
              </w:rPr>
              <w:t>.</w:t>
            </w:r>
            <w:r w:rsidR="000A4A52" w:rsidRPr="001B590D">
              <w:rPr>
                <w:rFonts w:ascii="Calibri" w:hAnsi="Calibri"/>
                <w:sz w:val="24"/>
                <w:szCs w:val="24"/>
              </w:rPr>
              <w:t>Sono comunque assimilate ad abitazione principale le fattispecie di cui all’articolo 5 comma 2 lettera b) della legge provinciale n. 14 del 2014,</w:t>
            </w:r>
            <w:r w:rsidR="000A4A52" w:rsidRPr="001B590D">
              <w:rPr>
                <w:rFonts w:ascii="Calibri" w:hAnsi="Calibri"/>
                <w:color w:val="000000"/>
                <w:sz w:val="24"/>
                <w:szCs w:val="24"/>
              </w:rPr>
              <w:t xml:space="preserve"> di seguito specificate:</w:t>
            </w:r>
          </w:p>
          <w:p w:rsidR="000A4A52" w:rsidRPr="00E365C5" w:rsidRDefault="000A4A52" w:rsidP="00E365C5">
            <w:pPr>
              <w:pStyle w:val="Paragrafoelenco"/>
              <w:numPr>
                <w:ilvl w:val="0"/>
                <w:numId w:val="26"/>
              </w:numPr>
              <w:spacing w:before="100" w:beforeAutospacing="1"/>
              <w:contextualSpacing w:val="0"/>
              <w:jc w:val="both"/>
              <w:rPr>
                <w:rFonts w:ascii="Calibri" w:hAnsi="Calibri"/>
                <w:color w:val="000000"/>
                <w:sz w:val="24"/>
                <w:szCs w:val="24"/>
              </w:rPr>
            </w:pPr>
            <w:r w:rsidRPr="00E365C5">
              <w:rPr>
                <w:rFonts w:ascii="Calibri" w:hAnsi="Calibri"/>
                <w:color w:val="000000"/>
                <w:sz w:val="24"/>
                <w:szCs w:val="24"/>
              </w:rPr>
              <w:t>le unità immobiliari possedute dalle cooperative edilizie a proprietà indivisa adibite ad abitazione principale dei soci assegnatari e le relative pertinenze;</w:t>
            </w:r>
          </w:p>
          <w:p w:rsidR="000A4A52" w:rsidRPr="00E365C5" w:rsidRDefault="000A4A52" w:rsidP="00E365C5">
            <w:pPr>
              <w:pStyle w:val="Paragrafoelenco"/>
              <w:numPr>
                <w:ilvl w:val="0"/>
                <w:numId w:val="26"/>
              </w:numPr>
              <w:contextualSpacing w:val="0"/>
              <w:jc w:val="both"/>
              <w:rPr>
                <w:rFonts w:ascii="Calibri" w:hAnsi="Calibri"/>
                <w:color w:val="000000"/>
                <w:sz w:val="24"/>
                <w:szCs w:val="24"/>
              </w:rPr>
            </w:pPr>
            <w:r w:rsidRPr="00E365C5">
              <w:rPr>
                <w:rFonts w:ascii="Calibri" w:hAnsi="Calibri"/>
                <w:color w:val="000000"/>
                <w:sz w:val="24"/>
                <w:szCs w:val="24"/>
              </w:rPr>
              <w:t>la casa coniugale assegnata al coniuge in seguito a provvedimento di separazione legale, annullamento, scioglimento o cessazione degli effetti civili del matrimonio;</w:t>
            </w:r>
          </w:p>
          <w:p w:rsidR="000A4A52" w:rsidRPr="00E365C5" w:rsidRDefault="000A4A52" w:rsidP="00E365C5">
            <w:pPr>
              <w:pStyle w:val="Paragrafoelenco"/>
              <w:numPr>
                <w:ilvl w:val="0"/>
                <w:numId w:val="26"/>
              </w:numPr>
              <w:contextualSpacing w:val="0"/>
              <w:jc w:val="both"/>
              <w:rPr>
                <w:rFonts w:ascii="Calibri" w:hAnsi="Calibri"/>
                <w:color w:val="000000"/>
                <w:sz w:val="24"/>
                <w:szCs w:val="24"/>
              </w:rPr>
            </w:pPr>
            <w:r w:rsidRPr="00E365C5">
              <w:rPr>
                <w:rFonts w:ascii="Calibri" w:hAnsi="Calibri"/>
                <w:color w:val="000000"/>
                <w:sz w:val="24"/>
                <w:szCs w:val="24"/>
              </w:rPr>
              <w:t>il fabbricato abitativo assegnato al genitore cui un provvedimento giudiziale ha riconosciuto l’affidamento dei figli, dove questi fissa la dimora abituale e la residenza anagrafica;</w:t>
            </w:r>
          </w:p>
          <w:p w:rsidR="000A4A52" w:rsidRPr="00E365C5" w:rsidRDefault="000A4A52" w:rsidP="00E365C5">
            <w:pPr>
              <w:pStyle w:val="Paragrafoelenco"/>
              <w:numPr>
                <w:ilvl w:val="0"/>
                <w:numId w:val="26"/>
              </w:numPr>
              <w:contextualSpacing w:val="0"/>
              <w:jc w:val="both"/>
              <w:rPr>
                <w:rFonts w:ascii="Calibri" w:hAnsi="Calibri"/>
                <w:color w:val="000000"/>
                <w:sz w:val="24"/>
                <w:szCs w:val="24"/>
              </w:rPr>
            </w:pPr>
            <w:r w:rsidRPr="00E365C5">
              <w:rPr>
                <w:rFonts w:ascii="Calibri" w:hAnsi="Calibri"/>
                <w:color w:val="000000"/>
                <w:sz w:val="24"/>
                <w:szCs w:val="24"/>
              </w:rPr>
              <w:t>il fabbricato posseduto e non concesso in locazione dal personale in servizio permanente appartenente alle forze armate e alle forze di polizia a ordinamento militare, dal personale dipendente delle forze di polizia a ordinamento civile, dal personale del corpo nazionale dei vigili del fuoco e, fatto salvo quanto previsto ai sensi dell’articolo 28, comma 1, lettera h), del decreto legislativo 19 maggio 2000, n. 139 (Disposizioni in materia di rapporto di impiego del personale della carriera prefettizia, a norma dell’articolo 10 della legge 28 luglio 1999, n. 266), dal personale appartenente alla carriera prefettizia, per il quale non sono richieste le condizioni della dimora abituale e della residenza anagrafica.</w:t>
            </w:r>
          </w:p>
          <w:p w:rsidR="00E75EAC" w:rsidRDefault="00433ABA" w:rsidP="00433ABA">
            <w:pPr>
              <w:spacing w:before="120"/>
              <w:jc w:val="both"/>
              <w:rPr>
                <w:rFonts w:ascii="Calibri" w:hAnsi="Calibri"/>
                <w:sz w:val="24"/>
                <w:szCs w:val="24"/>
              </w:rPr>
            </w:pPr>
            <w:r>
              <w:rPr>
                <w:rFonts w:ascii="Calibri" w:hAnsi="Calibri"/>
                <w:sz w:val="24"/>
                <w:szCs w:val="24"/>
              </w:rPr>
              <w:lastRenderedPageBreak/>
              <w:t xml:space="preserve"> </w:t>
            </w:r>
          </w:p>
          <w:p w:rsidR="00E75EAC" w:rsidRDefault="00E75EAC" w:rsidP="00433ABA">
            <w:pPr>
              <w:spacing w:before="120"/>
              <w:jc w:val="both"/>
              <w:rPr>
                <w:rFonts w:ascii="Calibri" w:hAnsi="Calibri"/>
                <w:sz w:val="24"/>
                <w:szCs w:val="24"/>
              </w:rPr>
            </w:pPr>
          </w:p>
          <w:p w:rsidR="000A4A52" w:rsidRPr="00E365C5" w:rsidRDefault="001B590D" w:rsidP="001B590D">
            <w:pPr>
              <w:spacing w:before="120"/>
              <w:ind w:left="176"/>
              <w:jc w:val="both"/>
              <w:rPr>
                <w:rFonts w:ascii="Calibri" w:hAnsi="Calibri"/>
                <w:sz w:val="24"/>
                <w:szCs w:val="24"/>
              </w:rPr>
            </w:pPr>
            <w:r>
              <w:rPr>
                <w:rFonts w:ascii="Calibri" w:hAnsi="Calibri"/>
                <w:sz w:val="24"/>
                <w:szCs w:val="24"/>
              </w:rPr>
              <w:t xml:space="preserve">4 </w:t>
            </w:r>
            <w:r w:rsidR="00E75EAC">
              <w:rPr>
                <w:rFonts w:ascii="Calibri" w:hAnsi="Calibri"/>
                <w:sz w:val="24"/>
                <w:szCs w:val="24"/>
              </w:rPr>
              <w:t xml:space="preserve"> </w:t>
            </w:r>
            <w:r w:rsidR="000A4A52" w:rsidRPr="00E365C5">
              <w:rPr>
                <w:rFonts w:ascii="Calibri" w:hAnsi="Calibri"/>
                <w:sz w:val="24"/>
                <w:szCs w:val="24"/>
              </w:rPr>
              <w:t>La base imponibile dell’IM.I.S. è ridotta del 50% per le fattispecie di cui all’articolo 7 comma 3 della legge provinciale n. 14 del 2014 e quindi:</w:t>
            </w:r>
          </w:p>
          <w:p w:rsidR="000A4A52" w:rsidRPr="00E365C5" w:rsidRDefault="000A4A52" w:rsidP="00EB6F0B">
            <w:pPr>
              <w:spacing w:before="120"/>
              <w:ind w:left="743" w:hanging="284"/>
              <w:jc w:val="both"/>
              <w:rPr>
                <w:rFonts w:ascii="Calibri" w:hAnsi="Calibri"/>
                <w:sz w:val="24"/>
                <w:szCs w:val="24"/>
              </w:rPr>
            </w:pPr>
            <w:r w:rsidRPr="00E365C5">
              <w:rPr>
                <w:rFonts w:ascii="Calibri" w:hAnsi="Calibri"/>
                <w:sz w:val="24"/>
                <w:szCs w:val="24"/>
              </w:rPr>
              <w:t>a) i fabbricati d'interesse storico o artistico indicati nell'articolo 10 del decreto legislativo n. 42 del 2004 iscritti con quest'indicazione nel libro fondiario, ovvero quelli privi di iscrizione nel libro fondiario ma notificati ai sensi della legge n. 364 del 1909;</w:t>
            </w:r>
          </w:p>
          <w:p w:rsidR="000A4A52" w:rsidRPr="00E365C5" w:rsidRDefault="000A4A52" w:rsidP="00EB6F0B">
            <w:pPr>
              <w:spacing w:before="120"/>
              <w:ind w:left="743" w:hanging="284"/>
              <w:jc w:val="both"/>
              <w:rPr>
                <w:rFonts w:ascii="Calibri" w:hAnsi="Calibri"/>
                <w:sz w:val="24"/>
                <w:szCs w:val="24"/>
              </w:rPr>
            </w:pPr>
            <w:r w:rsidRPr="00E365C5">
              <w:rPr>
                <w:rFonts w:ascii="Calibri" w:hAnsi="Calibri"/>
                <w:sz w:val="24"/>
                <w:szCs w:val="24"/>
              </w:rPr>
              <w:t>b) i fabbricati riconosciuti come inagibili e inabitabili secondo i criteri parametri di cui all’articolo 6.</w:t>
            </w:r>
          </w:p>
          <w:p w:rsidR="00503461" w:rsidRPr="00E365C5" w:rsidRDefault="00503461" w:rsidP="005A5E95">
            <w:pPr>
              <w:spacing w:before="120"/>
              <w:ind w:left="360"/>
              <w:jc w:val="both"/>
              <w:rPr>
                <w:sz w:val="24"/>
                <w:szCs w:val="24"/>
              </w:rPr>
            </w:pPr>
          </w:p>
        </w:tc>
      </w:tr>
    </w:tbl>
    <w:p w:rsidR="00503461" w:rsidRDefault="00503461">
      <w:pPr>
        <w:rPr>
          <w:sz w:val="24"/>
          <w:szCs w:val="24"/>
        </w:rPr>
      </w:pPr>
    </w:p>
    <w:p w:rsidR="00E8400D" w:rsidRDefault="00E8400D" w:rsidP="00E8400D">
      <w:pPr>
        <w:pStyle w:val="Titolo1"/>
        <w:spacing w:before="480"/>
        <w:rPr>
          <w:rFonts w:ascii="Calibri" w:hAnsi="Calibri"/>
          <w:spacing w:val="40"/>
          <w:u w:val="single"/>
        </w:rPr>
      </w:pPr>
      <w:bookmarkStart w:id="5" w:name="_Toc182891686"/>
      <w:bookmarkStart w:id="6" w:name="_Toc315422469"/>
      <w:r w:rsidRPr="00C47E59">
        <w:rPr>
          <w:rFonts w:ascii="Calibri" w:hAnsi="Calibri"/>
          <w:spacing w:val="40"/>
          <w:u w:val="single"/>
        </w:rPr>
        <w:t>ART. 16 Entrata in vigore</w:t>
      </w:r>
      <w:bookmarkEnd w:id="5"/>
      <w:bookmarkEnd w:id="6"/>
    </w:p>
    <w:p w:rsidR="005A5E95" w:rsidRPr="005A5E95" w:rsidRDefault="005A5E95" w:rsidP="005A5E95">
      <w:pPr>
        <w:rPr>
          <w:lang w:eastAsia="it-IT"/>
        </w:rPr>
      </w:pPr>
    </w:p>
    <w:tbl>
      <w:tblPr>
        <w:tblStyle w:val="Grigliatabella"/>
        <w:tblW w:w="0" w:type="auto"/>
        <w:tblLook w:val="04A0"/>
      </w:tblPr>
      <w:tblGrid>
        <w:gridCol w:w="4814"/>
        <w:gridCol w:w="4814"/>
      </w:tblGrid>
      <w:tr w:rsidR="00E8400D" w:rsidTr="00AC553B">
        <w:tc>
          <w:tcPr>
            <w:tcW w:w="4814" w:type="dxa"/>
          </w:tcPr>
          <w:p w:rsidR="00E8400D" w:rsidRDefault="00E8400D" w:rsidP="00AC553B">
            <w:pPr>
              <w:rPr>
                <w:sz w:val="24"/>
                <w:szCs w:val="24"/>
              </w:rPr>
            </w:pPr>
            <w:r>
              <w:rPr>
                <w:sz w:val="24"/>
                <w:szCs w:val="24"/>
              </w:rPr>
              <w:t>Precedente</w:t>
            </w:r>
          </w:p>
        </w:tc>
        <w:tc>
          <w:tcPr>
            <w:tcW w:w="4814" w:type="dxa"/>
          </w:tcPr>
          <w:p w:rsidR="00E8400D" w:rsidRDefault="00E8400D" w:rsidP="00AC553B">
            <w:pPr>
              <w:rPr>
                <w:sz w:val="24"/>
                <w:szCs w:val="24"/>
              </w:rPr>
            </w:pPr>
            <w:r>
              <w:rPr>
                <w:sz w:val="24"/>
                <w:szCs w:val="24"/>
              </w:rPr>
              <w:t>Nuovo</w:t>
            </w:r>
          </w:p>
        </w:tc>
      </w:tr>
      <w:tr w:rsidR="00E8400D" w:rsidTr="00E8400D">
        <w:tc>
          <w:tcPr>
            <w:tcW w:w="4814" w:type="dxa"/>
          </w:tcPr>
          <w:p w:rsidR="00E8400D" w:rsidRPr="00E8400D" w:rsidRDefault="00E8400D" w:rsidP="005A5E95">
            <w:pPr>
              <w:pStyle w:val="BodyText23"/>
              <w:numPr>
                <w:ilvl w:val="0"/>
                <w:numId w:val="22"/>
              </w:numPr>
              <w:spacing w:before="120"/>
              <w:ind w:right="0"/>
              <w:rPr>
                <w:rFonts w:ascii="Calibri" w:hAnsi="Calibri"/>
                <w:sz w:val="24"/>
              </w:rPr>
            </w:pPr>
            <w:r w:rsidRPr="00C47E59">
              <w:rPr>
                <w:rFonts w:ascii="Calibri" w:hAnsi="Calibri"/>
                <w:sz w:val="24"/>
              </w:rPr>
              <w:t>Il presente regolamento entra in vigore il 1° gennaio 201</w:t>
            </w:r>
            <w:r w:rsidR="00BD6357">
              <w:rPr>
                <w:rFonts w:ascii="Calibri" w:hAnsi="Calibri"/>
                <w:sz w:val="24"/>
              </w:rPr>
              <w:t>7</w:t>
            </w:r>
            <w:r w:rsidRPr="00C47E59">
              <w:rPr>
                <w:rFonts w:ascii="Calibri" w:hAnsi="Calibri"/>
                <w:sz w:val="24"/>
              </w:rPr>
              <w:t>.</w:t>
            </w:r>
          </w:p>
        </w:tc>
        <w:tc>
          <w:tcPr>
            <w:tcW w:w="4814" w:type="dxa"/>
          </w:tcPr>
          <w:p w:rsidR="00E8400D" w:rsidRPr="00E8400D" w:rsidRDefault="00E8400D" w:rsidP="00E365C5">
            <w:pPr>
              <w:pStyle w:val="BodyText23"/>
              <w:numPr>
                <w:ilvl w:val="0"/>
                <w:numId w:val="28"/>
              </w:numPr>
              <w:spacing w:before="120"/>
              <w:ind w:right="0"/>
              <w:rPr>
                <w:rFonts w:ascii="Calibri" w:hAnsi="Calibri"/>
                <w:sz w:val="24"/>
              </w:rPr>
            </w:pPr>
            <w:r w:rsidRPr="00C47E59">
              <w:rPr>
                <w:rFonts w:ascii="Calibri" w:hAnsi="Calibri"/>
                <w:sz w:val="24"/>
              </w:rPr>
              <w:t>Il presente regolamento entra in vigore il 1° gennaio 201</w:t>
            </w:r>
            <w:r w:rsidR="005A5E95">
              <w:rPr>
                <w:rFonts w:ascii="Calibri" w:hAnsi="Calibri"/>
                <w:sz w:val="24"/>
              </w:rPr>
              <w:t>7</w:t>
            </w:r>
            <w:r w:rsidRPr="00C47E59">
              <w:rPr>
                <w:rFonts w:ascii="Calibri" w:hAnsi="Calibri"/>
                <w:sz w:val="24"/>
              </w:rPr>
              <w:t>.</w:t>
            </w:r>
          </w:p>
        </w:tc>
      </w:tr>
    </w:tbl>
    <w:p w:rsidR="00503461" w:rsidRDefault="00503461">
      <w:pPr>
        <w:rPr>
          <w:sz w:val="24"/>
          <w:szCs w:val="24"/>
        </w:rPr>
      </w:pPr>
    </w:p>
    <w:p w:rsidR="00503461" w:rsidRPr="00503461" w:rsidRDefault="00503461">
      <w:pPr>
        <w:rPr>
          <w:sz w:val="24"/>
          <w:szCs w:val="24"/>
        </w:rPr>
      </w:pPr>
    </w:p>
    <w:sectPr w:rsidR="00503461" w:rsidRPr="00503461" w:rsidSect="00D9618E">
      <w:pgSz w:w="11906" w:h="16838"/>
      <w:pgMar w:top="851"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974C2"/>
    <w:multiLevelType w:val="hybridMultilevel"/>
    <w:tmpl w:val="19C8550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nsid w:val="0B266396"/>
    <w:multiLevelType w:val="hybridMultilevel"/>
    <w:tmpl w:val="76A04E70"/>
    <w:lvl w:ilvl="0" w:tplc="BD3C188C">
      <w:start w:val="2"/>
      <w:numFmt w:val="decimal"/>
      <w:lvlText w:val="%1."/>
      <w:lvlJc w:val="left"/>
      <w:pPr>
        <w:tabs>
          <w:tab w:val="num" w:pos="720"/>
        </w:tabs>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1910E32"/>
    <w:multiLevelType w:val="hybridMultilevel"/>
    <w:tmpl w:val="4594B224"/>
    <w:lvl w:ilvl="0" w:tplc="7618F50A">
      <w:start w:val="1"/>
      <w:numFmt w:val="lowerLetter"/>
      <w:lvlText w:val="%1)"/>
      <w:lvlJc w:val="left"/>
      <w:pPr>
        <w:ind w:left="389" w:hanging="360"/>
      </w:pPr>
      <w:rPr>
        <w:rFonts w:hint="default"/>
      </w:rPr>
    </w:lvl>
    <w:lvl w:ilvl="1" w:tplc="04100019" w:tentative="1">
      <w:start w:val="1"/>
      <w:numFmt w:val="lowerLetter"/>
      <w:lvlText w:val="%2."/>
      <w:lvlJc w:val="left"/>
      <w:pPr>
        <w:ind w:left="1109" w:hanging="360"/>
      </w:pPr>
    </w:lvl>
    <w:lvl w:ilvl="2" w:tplc="0410001B" w:tentative="1">
      <w:start w:val="1"/>
      <w:numFmt w:val="lowerRoman"/>
      <w:lvlText w:val="%3."/>
      <w:lvlJc w:val="right"/>
      <w:pPr>
        <w:ind w:left="1829" w:hanging="180"/>
      </w:pPr>
    </w:lvl>
    <w:lvl w:ilvl="3" w:tplc="0410000F" w:tentative="1">
      <w:start w:val="1"/>
      <w:numFmt w:val="decimal"/>
      <w:lvlText w:val="%4."/>
      <w:lvlJc w:val="left"/>
      <w:pPr>
        <w:ind w:left="2549" w:hanging="360"/>
      </w:pPr>
    </w:lvl>
    <w:lvl w:ilvl="4" w:tplc="04100019" w:tentative="1">
      <w:start w:val="1"/>
      <w:numFmt w:val="lowerLetter"/>
      <w:lvlText w:val="%5."/>
      <w:lvlJc w:val="left"/>
      <w:pPr>
        <w:ind w:left="3269" w:hanging="360"/>
      </w:pPr>
    </w:lvl>
    <w:lvl w:ilvl="5" w:tplc="0410001B" w:tentative="1">
      <w:start w:val="1"/>
      <w:numFmt w:val="lowerRoman"/>
      <w:lvlText w:val="%6."/>
      <w:lvlJc w:val="right"/>
      <w:pPr>
        <w:ind w:left="3989" w:hanging="180"/>
      </w:pPr>
    </w:lvl>
    <w:lvl w:ilvl="6" w:tplc="0410000F" w:tentative="1">
      <w:start w:val="1"/>
      <w:numFmt w:val="decimal"/>
      <w:lvlText w:val="%7."/>
      <w:lvlJc w:val="left"/>
      <w:pPr>
        <w:ind w:left="4709" w:hanging="360"/>
      </w:pPr>
    </w:lvl>
    <w:lvl w:ilvl="7" w:tplc="04100019" w:tentative="1">
      <w:start w:val="1"/>
      <w:numFmt w:val="lowerLetter"/>
      <w:lvlText w:val="%8."/>
      <w:lvlJc w:val="left"/>
      <w:pPr>
        <w:ind w:left="5429" w:hanging="360"/>
      </w:pPr>
    </w:lvl>
    <w:lvl w:ilvl="8" w:tplc="0410001B" w:tentative="1">
      <w:start w:val="1"/>
      <w:numFmt w:val="lowerRoman"/>
      <w:lvlText w:val="%9."/>
      <w:lvlJc w:val="right"/>
      <w:pPr>
        <w:ind w:left="6149" w:hanging="180"/>
      </w:pPr>
    </w:lvl>
  </w:abstractNum>
  <w:abstractNum w:abstractNumId="3">
    <w:nsid w:val="15ED6190"/>
    <w:multiLevelType w:val="hybridMultilevel"/>
    <w:tmpl w:val="92DC654A"/>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4">
    <w:nsid w:val="175B3D80"/>
    <w:multiLevelType w:val="hybridMultilevel"/>
    <w:tmpl w:val="41361DFE"/>
    <w:lvl w:ilvl="0" w:tplc="F99ED7B8">
      <w:start w:val="1"/>
      <w:numFmt w:val="lowerLetter"/>
      <w:lvlText w:val="%1)"/>
      <w:lvlJc w:val="left"/>
      <w:pPr>
        <w:ind w:left="75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99F2F1D"/>
    <w:multiLevelType w:val="hybridMultilevel"/>
    <w:tmpl w:val="3EE2C7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2B07BE3"/>
    <w:multiLevelType w:val="hybridMultilevel"/>
    <w:tmpl w:val="281E7BF4"/>
    <w:lvl w:ilvl="0" w:tplc="A120B3C8">
      <w:start w:val="1"/>
      <w:numFmt w:val="decimal"/>
      <w:lvlText w:val="%1."/>
      <w:lvlJc w:val="left"/>
      <w:pPr>
        <w:ind w:left="720" w:hanging="360"/>
      </w:pPr>
      <w:rPr>
        <w:rFonts w:ascii="Calibri" w:eastAsiaTheme="minorHAnsi" w:hAnsi="Calibri" w:cstheme="minorBidi"/>
      </w:rPr>
    </w:lvl>
    <w:lvl w:ilvl="1" w:tplc="04100019">
      <w:start w:val="1"/>
      <w:numFmt w:val="lowerLetter"/>
      <w:lvlText w:val="%2."/>
      <w:lvlJc w:val="left"/>
      <w:pPr>
        <w:ind w:left="1440" w:hanging="360"/>
      </w:pPr>
    </w:lvl>
    <w:lvl w:ilvl="2" w:tplc="C3F89676">
      <w:start w:val="1"/>
      <w:numFmt w:val="lowerLetter"/>
      <w:lvlText w:val="%3)"/>
      <w:lvlJc w:val="left"/>
      <w:pPr>
        <w:tabs>
          <w:tab w:val="num" w:pos="502"/>
        </w:tabs>
        <w:ind w:left="502"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4B90803"/>
    <w:multiLevelType w:val="singleLevel"/>
    <w:tmpl w:val="3000EFD0"/>
    <w:lvl w:ilvl="0">
      <w:start w:val="1"/>
      <w:numFmt w:val="decimal"/>
      <w:lvlText w:val="%1."/>
      <w:lvlJc w:val="left"/>
      <w:pPr>
        <w:tabs>
          <w:tab w:val="num" w:pos="360"/>
        </w:tabs>
        <w:ind w:left="360" w:hanging="360"/>
      </w:pPr>
    </w:lvl>
  </w:abstractNum>
  <w:abstractNum w:abstractNumId="8">
    <w:nsid w:val="26134D60"/>
    <w:multiLevelType w:val="hybridMultilevel"/>
    <w:tmpl w:val="45D6A196"/>
    <w:lvl w:ilvl="0" w:tplc="8288354E">
      <w:start w:val="1"/>
      <w:numFmt w:val="decimal"/>
      <w:lvlText w:val="%1."/>
      <w:lvlJc w:val="left"/>
      <w:pPr>
        <w:ind w:left="720" w:hanging="360"/>
      </w:pPr>
      <w:rPr>
        <w:rFonts w:ascii="Calibri" w:eastAsiaTheme="minorHAnsi" w:hAnsi="Calibri" w:cstheme="minorBidi"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7D95CB1"/>
    <w:multiLevelType w:val="hybridMultilevel"/>
    <w:tmpl w:val="E0025C60"/>
    <w:lvl w:ilvl="0" w:tplc="0410000F">
      <w:start w:val="1"/>
      <w:numFmt w:val="decimal"/>
      <w:lvlText w:val="%1."/>
      <w:lvlJc w:val="left"/>
      <w:pPr>
        <w:ind w:left="1080" w:hanging="360"/>
      </w:pPr>
    </w:lvl>
    <w:lvl w:ilvl="1" w:tplc="7C6E1D40">
      <w:start w:val="1"/>
      <w:numFmt w:val="decimal"/>
      <w:lvlText w:val="%2)"/>
      <w:lvlJc w:val="left"/>
      <w:pPr>
        <w:tabs>
          <w:tab w:val="num" w:pos="1070"/>
        </w:tabs>
        <w:ind w:left="1070" w:hanging="360"/>
      </w:pPr>
      <w:rPr>
        <w:rFonts w:ascii="Calibri" w:eastAsia="Times New Roman" w:hAnsi="Calibri" w:cs="Times New Roman"/>
        <w:sz w:val="24"/>
      </w:rPr>
    </w:lvl>
    <w:lvl w:ilvl="2" w:tplc="28D86156">
      <w:start w:val="1"/>
      <w:numFmt w:val="lowerLetter"/>
      <w:lvlText w:val="%3)"/>
      <w:lvlJc w:val="left"/>
      <w:pPr>
        <w:ind w:left="2700" w:hanging="36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2D170C52"/>
    <w:multiLevelType w:val="hybridMultilevel"/>
    <w:tmpl w:val="C520E5F6"/>
    <w:lvl w:ilvl="0" w:tplc="04100017">
      <w:start w:val="1"/>
      <w:numFmt w:val="lowerLetter"/>
      <w:lvlText w:val="%1)"/>
      <w:lvlJc w:val="left"/>
      <w:pPr>
        <w:ind w:left="749" w:hanging="360"/>
      </w:pPr>
    </w:lvl>
    <w:lvl w:ilvl="1" w:tplc="04100019" w:tentative="1">
      <w:start w:val="1"/>
      <w:numFmt w:val="lowerLetter"/>
      <w:lvlText w:val="%2."/>
      <w:lvlJc w:val="left"/>
      <w:pPr>
        <w:ind w:left="1469" w:hanging="360"/>
      </w:pPr>
    </w:lvl>
    <w:lvl w:ilvl="2" w:tplc="0410001B" w:tentative="1">
      <w:start w:val="1"/>
      <w:numFmt w:val="lowerRoman"/>
      <w:lvlText w:val="%3."/>
      <w:lvlJc w:val="right"/>
      <w:pPr>
        <w:ind w:left="2189" w:hanging="180"/>
      </w:pPr>
    </w:lvl>
    <w:lvl w:ilvl="3" w:tplc="0410000F" w:tentative="1">
      <w:start w:val="1"/>
      <w:numFmt w:val="decimal"/>
      <w:lvlText w:val="%4."/>
      <w:lvlJc w:val="left"/>
      <w:pPr>
        <w:ind w:left="2909" w:hanging="360"/>
      </w:pPr>
    </w:lvl>
    <w:lvl w:ilvl="4" w:tplc="04100019" w:tentative="1">
      <w:start w:val="1"/>
      <w:numFmt w:val="lowerLetter"/>
      <w:lvlText w:val="%5."/>
      <w:lvlJc w:val="left"/>
      <w:pPr>
        <w:ind w:left="3629" w:hanging="360"/>
      </w:pPr>
    </w:lvl>
    <w:lvl w:ilvl="5" w:tplc="0410001B" w:tentative="1">
      <w:start w:val="1"/>
      <w:numFmt w:val="lowerRoman"/>
      <w:lvlText w:val="%6."/>
      <w:lvlJc w:val="right"/>
      <w:pPr>
        <w:ind w:left="4349" w:hanging="180"/>
      </w:pPr>
    </w:lvl>
    <w:lvl w:ilvl="6" w:tplc="0410000F" w:tentative="1">
      <w:start w:val="1"/>
      <w:numFmt w:val="decimal"/>
      <w:lvlText w:val="%7."/>
      <w:lvlJc w:val="left"/>
      <w:pPr>
        <w:ind w:left="5069" w:hanging="360"/>
      </w:pPr>
    </w:lvl>
    <w:lvl w:ilvl="7" w:tplc="04100019" w:tentative="1">
      <w:start w:val="1"/>
      <w:numFmt w:val="lowerLetter"/>
      <w:lvlText w:val="%8."/>
      <w:lvlJc w:val="left"/>
      <w:pPr>
        <w:ind w:left="5789" w:hanging="360"/>
      </w:pPr>
    </w:lvl>
    <w:lvl w:ilvl="8" w:tplc="0410001B" w:tentative="1">
      <w:start w:val="1"/>
      <w:numFmt w:val="lowerRoman"/>
      <w:lvlText w:val="%9."/>
      <w:lvlJc w:val="right"/>
      <w:pPr>
        <w:ind w:left="6509" w:hanging="180"/>
      </w:pPr>
    </w:lvl>
  </w:abstractNum>
  <w:abstractNum w:abstractNumId="11">
    <w:nsid w:val="3BEB628E"/>
    <w:multiLevelType w:val="hybridMultilevel"/>
    <w:tmpl w:val="4A7CDE86"/>
    <w:lvl w:ilvl="0" w:tplc="0652E82C">
      <w:start w:val="4"/>
      <w:numFmt w:val="decimal"/>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D510F28"/>
    <w:multiLevelType w:val="hybridMultilevel"/>
    <w:tmpl w:val="076E7414"/>
    <w:lvl w:ilvl="0" w:tplc="EE50073A">
      <w:start w:val="1"/>
      <w:numFmt w:val="decimal"/>
      <w:lvlText w:val="%1."/>
      <w:lvlJc w:val="left"/>
      <w:pPr>
        <w:tabs>
          <w:tab w:val="num" w:pos="350"/>
        </w:tabs>
        <w:ind w:left="350" w:hanging="360"/>
      </w:pPr>
      <w:rPr>
        <w:rFonts w:hint="default"/>
      </w:rPr>
    </w:lvl>
    <w:lvl w:ilvl="1" w:tplc="842CFC32">
      <w:start w:val="1"/>
      <w:numFmt w:val="lowerLetter"/>
      <w:lvlText w:val="%2)"/>
      <w:lvlJc w:val="left"/>
      <w:pPr>
        <w:tabs>
          <w:tab w:val="num" w:pos="1070"/>
        </w:tabs>
        <w:ind w:left="1070" w:hanging="360"/>
      </w:pPr>
      <w:rPr>
        <w:rFonts w:hint="default"/>
      </w:rPr>
    </w:lvl>
    <w:lvl w:ilvl="2" w:tplc="B6FC74C4">
      <w:start w:val="5"/>
      <w:numFmt w:val="decimal"/>
      <w:lvlText w:val="%3."/>
      <w:lvlJc w:val="left"/>
      <w:pPr>
        <w:tabs>
          <w:tab w:val="num" w:pos="1970"/>
        </w:tabs>
        <w:ind w:left="1970" w:hanging="360"/>
      </w:pPr>
      <w:rPr>
        <w:rFonts w:hint="default"/>
      </w:rPr>
    </w:lvl>
    <w:lvl w:ilvl="3" w:tplc="0410000F" w:tentative="1">
      <w:start w:val="1"/>
      <w:numFmt w:val="decimal"/>
      <w:lvlText w:val="%4."/>
      <w:lvlJc w:val="left"/>
      <w:pPr>
        <w:tabs>
          <w:tab w:val="num" w:pos="2510"/>
        </w:tabs>
        <w:ind w:left="2510" w:hanging="360"/>
      </w:pPr>
    </w:lvl>
    <w:lvl w:ilvl="4" w:tplc="04100019" w:tentative="1">
      <w:start w:val="1"/>
      <w:numFmt w:val="lowerLetter"/>
      <w:lvlText w:val="%5."/>
      <w:lvlJc w:val="left"/>
      <w:pPr>
        <w:tabs>
          <w:tab w:val="num" w:pos="3230"/>
        </w:tabs>
        <w:ind w:left="3230" w:hanging="360"/>
      </w:pPr>
    </w:lvl>
    <w:lvl w:ilvl="5" w:tplc="0410001B" w:tentative="1">
      <w:start w:val="1"/>
      <w:numFmt w:val="lowerRoman"/>
      <w:lvlText w:val="%6."/>
      <w:lvlJc w:val="right"/>
      <w:pPr>
        <w:tabs>
          <w:tab w:val="num" w:pos="3950"/>
        </w:tabs>
        <w:ind w:left="3950" w:hanging="180"/>
      </w:pPr>
    </w:lvl>
    <w:lvl w:ilvl="6" w:tplc="0410000F" w:tentative="1">
      <w:start w:val="1"/>
      <w:numFmt w:val="decimal"/>
      <w:lvlText w:val="%7."/>
      <w:lvlJc w:val="left"/>
      <w:pPr>
        <w:tabs>
          <w:tab w:val="num" w:pos="4670"/>
        </w:tabs>
        <w:ind w:left="4670" w:hanging="360"/>
      </w:pPr>
    </w:lvl>
    <w:lvl w:ilvl="7" w:tplc="04100019" w:tentative="1">
      <w:start w:val="1"/>
      <w:numFmt w:val="lowerLetter"/>
      <w:lvlText w:val="%8."/>
      <w:lvlJc w:val="left"/>
      <w:pPr>
        <w:tabs>
          <w:tab w:val="num" w:pos="5390"/>
        </w:tabs>
        <w:ind w:left="5390" w:hanging="360"/>
      </w:pPr>
    </w:lvl>
    <w:lvl w:ilvl="8" w:tplc="0410001B" w:tentative="1">
      <w:start w:val="1"/>
      <w:numFmt w:val="lowerRoman"/>
      <w:lvlText w:val="%9."/>
      <w:lvlJc w:val="right"/>
      <w:pPr>
        <w:tabs>
          <w:tab w:val="num" w:pos="6110"/>
        </w:tabs>
        <w:ind w:left="6110" w:hanging="180"/>
      </w:pPr>
    </w:lvl>
  </w:abstractNum>
  <w:abstractNum w:abstractNumId="13">
    <w:nsid w:val="45D827D7"/>
    <w:multiLevelType w:val="singleLevel"/>
    <w:tmpl w:val="3000EFD0"/>
    <w:lvl w:ilvl="0">
      <w:start w:val="1"/>
      <w:numFmt w:val="decimal"/>
      <w:lvlText w:val="%1."/>
      <w:lvlJc w:val="left"/>
      <w:pPr>
        <w:tabs>
          <w:tab w:val="num" w:pos="360"/>
        </w:tabs>
        <w:ind w:left="360" w:hanging="360"/>
      </w:pPr>
    </w:lvl>
  </w:abstractNum>
  <w:abstractNum w:abstractNumId="14">
    <w:nsid w:val="55EF6AE5"/>
    <w:multiLevelType w:val="hybridMultilevel"/>
    <w:tmpl w:val="6F488590"/>
    <w:lvl w:ilvl="0" w:tplc="0066ACB6">
      <w:start w:val="1"/>
      <w:numFmt w:val="lowerLetter"/>
      <w:lvlText w:val="%1)"/>
      <w:lvlJc w:val="left"/>
      <w:pPr>
        <w:ind w:left="389" w:hanging="360"/>
      </w:pPr>
      <w:rPr>
        <w:rFonts w:hint="default"/>
      </w:rPr>
    </w:lvl>
    <w:lvl w:ilvl="1" w:tplc="04100019" w:tentative="1">
      <w:start w:val="1"/>
      <w:numFmt w:val="lowerLetter"/>
      <w:lvlText w:val="%2."/>
      <w:lvlJc w:val="left"/>
      <w:pPr>
        <w:ind w:left="1109" w:hanging="360"/>
      </w:pPr>
    </w:lvl>
    <w:lvl w:ilvl="2" w:tplc="0410001B" w:tentative="1">
      <w:start w:val="1"/>
      <w:numFmt w:val="lowerRoman"/>
      <w:lvlText w:val="%3."/>
      <w:lvlJc w:val="right"/>
      <w:pPr>
        <w:ind w:left="1829" w:hanging="180"/>
      </w:pPr>
    </w:lvl>
    <w:lvl w:ilvl="3" w:tplc="0410000F" w:tentative="1">
      <w:start w:val="1"/>
      <w:numFmt w:val="decimal"/>
      <w:lvlText w:val="%4."/>
      <w:lvlJc w:val="left"/>
      <w:pPr>
        <w:ind w:left="2549" w:hanging="360"/>
      </w:pPr>
    </w:lvl>
    <w:lvl w:ilvl="4" w:tplc="04100019" w:tentative="1">
      <w:start w:val="1"/>
      <w:numFmt w:val="lowerLetter"/>
      <w:lvlText w:val="%5."/>
      <w:lvlJc w:val="left"/>
      <w:pPr>
        <w:ind w:left="3269" w:hanging="360"/>
      </w:pPr>
    </w:lvl>
    <w:lvl w:ilvl="5" w:tplc="0410001B" w:tentative="1">
      <w:start w:val="1"/>
      <w:numFmt w:val="lowerRoman"/>
      <w:lvlText w:val="%6."/>
      <w:lvlJc w:val="right"/>
      <w:pPr>
        <w:ind w:left="3989" w:hanging="180"/>
      </w:pPr>
    </w:lvl>
    <w:lvl w:ilvl="6" w:tplc="0410000F" w:tentative="1">
      <w:start w:val="1"/>
      <w:numFmt w:val="decimal"/>
      <w:lvlText w:val="%7."/>
      <w:lvlJc w:val="left"/>
      <w:pPr>
        <w:ind w:left="4709" w:hanging="360"/>
      </w:pPr>
    </w:lvl>
    <w:lvl w:ilvl="7" w:tplc="04100019" w:tentative="1">
      <w:start w:val="1"/>
      <w:numFmt w:val="lowerLetter"/>
      <w:lvlText w:val="%8."/>
      <w:lvlJc w:val="left"/>
      <w:pPr>
        <w:ind w:left="5429" w:hanging="360"/>
      </w:pPr>
    </w:lvl>
    <w:lvl w:ilvl="8" w:tplc="0410001B" w:tentative="1">
      <w:start w:val="1"/>
      <w:numFmt w:val="lowerRoman"/>
      <w:lvlText w:val="%9."/>
      <w:lvlJc w:val="right"/>
      <w:pPr>
        <w:ind w:left="6149" w:hanging="180"/>
      </w:pPr>
    </w:lvl>
  </w:abstractNum>
  <w:abstractNum w:abstractNumId="15">
    <w:nsid w:val="57854470"/>
    <w:multiLevelType w:val="hybridMultilevel"/>
    <w:tmpl w:val="664E3DEC"/>
    <w:lvl w:ilvl="0" w:tplc="BD3C188C">
      <w:start w:val="2"/>
      <w:numFmt w:val="decimal"/>
      <w:lvlText w:val="%1."/>
      <w:lvlJc w:val="left"/>
      <w:pPr>
        <w:tabs>
          <w:tab w:val="num" w:pos="720"/>
        </w:tabs>
        <w:ind w:left="720" w:hanging="360"/>
      </w:pPr>
      <w:rPr>
        <w:rFonts w:hint="default"/>
      </w:rPr>
    </w:lvl>
    <w:lvl w:ilvl="1" w:tplc="04100017">
      <w:start w:val="1"/>
      <w:numFmt w:val="lowerLetter"/>
      <w:lvlText w:val="%2)"/>
      <w:lvlJc w:val="left"/>
      <w:pPr>
        <w:ind w:left="757"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9E61FAF"/>
    <w:multiLevelType w:val="hybridMultilevel"/>
    <w:tmpl w:val="6FACA7CA"/>
    <w:lvl w:ilvl="0" w:tplc="79785984">
      <w:start w:val="2"/>
      <w:numFmt w:val="decimal"/>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D694BF8"/>
    <w:multiLevelType w:val="hybridMultilevel"/>
    <w:tmpl w:val="E64A3A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FC42326"/>
    <w:multiLevelType w:val="hybridMultilevel"/>
    <w:tmpl w:val="3516E67E"/>
    <w:lvl w:ilvl="0" w:tplc="0410000F">
      <w:start w:val="1"/>
      <w:numFmt w:val="decimal"/>
      <w:lvlText w:val="%1."/>
      <w:lvlJc w:val="left"/>
      <w:pPr>
        <w:ind w:left="1080" w:hanging="360"/>
      </w:pPr>
    </w:lvl>
    <w:lvl w:ilvl="1" w:tplc="04100017">
      <w:start w:val="1"/>
      <w:numFmt w:val="lowerLetter"/>
      <w:lvlText w:val="%2)"/>
      <w:lvlJc w:val="left"/>
      <w:pPr>
        <w:tabs>
          <w:tab w:val="num" w:pos="1070"/>
        </w:tabs>
        <w:ind w:left="1070" w:hanging="360"/>
      </w:pPr>
      <w:rPr>
        <w:sz w:val="24"/>
      </w:rPr>
    </w:lvl>
    <w:lvl w:ilvl="2" w:tplc="28D86156">
      <w:start w:val="1"/>
      <w:numFmt w:val="lowerLetter"/>
      <w:lvlText w:val="%3)"/>
      <w:lvlJc w:val="left"/>
      <w:pPr>
        <w:ind w:left="2700" w:hanging="36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6326751D"/>
    <w:multiLevelType w:val="hybridMultilevel"/>
    <w:tmpl w:val="A6629B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7B26849"/>
    <w:multiLevelType w:val="singleLevel"/>
    <w:tmpl w:val="972290A2"/>
    <w:lvl w:ilvl="0">
      <w:start w:val="1"/>
      <w:numFmt w:val="decimal"/>
      <w:lvlText w:val="%1."/>
      <w:lvlJc w:val="left"/>
      <w:pPr>
        <w:tabs>
          <w:tab w:val="num" w:pos="360"/>
        </w:tabs>
        <w:ind w:left="360" w:hanging="360"/>
      </w:pPr>
      <w:rPr>
        <w:rFonts w:hint="default"/>
      </w:rPr>
    </w:lvl>
  </w:abstractNum>
  <w:abstractNum w:abstractNumId="21">
    <w:nsid w:val="69360FA4"/>
    <w:multiLevelType w:val="hybridMultilevel"/>
    <w:tmpl w:val="617C4CE2"/>
    <w:lvl w:ilvl="0" w:tplc="04100017">
      <w:start w:val="1"/>
      <w:numFmt w:val="lowerLetter"/>
      <w:lvlText w:val="%1)"/>
      <w:lvlJc w:val="left"/>
      <w:pPr>
        <w:ind w:left="1070" w:hanging="360"/>
      </w:p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22">
    <w:nsid w:val="6F346C13"/>
    <w:multiLevelType w:val="multilevel"/>
    <w:tmpl w:val="EBAE3B0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726729CF"/>
    <w:multiLevelType w:val="hybridMultilevel"/>
    <w:tmpl w:val="50CE6380"/>
    <w:lvl w:ilvl="0" w:tplc="983483FC">
      <w:start w:val="10"/>
      <w:numFmt w:val="decimal"/>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75E2BC4"/>
    <w:multiLevelType w:val="singleLevel"/>
    <w:tmpl w:val="D67025A2"/>
    <w:lvl w:ilvl="0">
      <w:start w:val="2"/>
      <w:numFmt w:val="decimal"/>
      <w:lvlText w:val="%1."/>
      <w:lvlJc w:val="left"/>
      <w:pPr>
        <w:tabs>
          <w:tab w:val="num" w:pos="360"/>
        </w:tabs>
        <w:ind w:left="360" w:hanging="360"/>
      </w:pPr>
      <w:rPr>
        <w:rFonts w:hint="default"/>
      </w:rPr>
    </w:lvl>
  </w:abstractNum>
  <w:abstractNum w:abstractNumId="25">
    <w:nsid w:val="793B1CE3"/>
    <w:multiLevelType w:val="singleLevel"/>
    <w:tmpl w:val="0410000F"/>
    <w:lvl w:ilvl="0">
      <w:start w:val="1"/>
      <w:numFmt w:val="decimal"/>
      <w:lvlText w:val="%1."/>
      <w:lvlJc w:val="left"/>
      <w:pPr>
        <w:tabs>
          <w:tab w:val="num" w:pos="360"/>
        </w:tabs>
        <w:ind w:left="360" w:hanging="360"/>
      </w:pPr>
    </w:lvl>
  </w:abstractNum>
  <w:abstractNum w:abstractNumId="26">
    <w:nsid w:val="7BE858A1"/>
    <w:multiLevelType w:val="hybridMultilevel"/>
    <w:tmpl w:val="12AA7B08"/>
    <w:lvl w:ilvl="0" w:tplc="04100001">
      <w:start w:val="1"/>
      <w:numFmt w:val="bullet"/>
      <w:lvlText w:val=""/>
      <w:lvlJc w:val="left"/>
      <w:pPr>
        <w:ind w:left="1605" w:hanging="360"/>
      </w:pPr>
      <w:rPr>
        <w:rFonts w:ascii="Symbol" w:hAnsi="Symbol" w:hint="default"/>
      </w:rPr>
    </w:lvl>
    <w:lvl w:ilvl="1" w:tplc="04100003" w:tentative="1">
      <w:start w:val="1"/>
      <w:numFmt w:val="bullet"/>
      <w:lvlText w:val="o"/>
      <w:lvlJc w:val="left"/>
      <w:pPr>
        <w:ind w:left="2325" w:hanging="360"/>
      </w:pPr>
      <w:rPr>
        <w:rFonts w:ascii="Courier New" w:hAnsi="Courier New" w:cs="Courier New" w:hint="default"/>
      </w:rPr>
    </w:lvl>
    <w:lvl w:ilvl="2" w:tplc="04100005" w:tentative="1">
      <w:start w:val="1"/>
      <w:numFmt w:val="bullet"/>
      <w:lvlText w:val=""/>
      <w:lvlJc w:val="left"/>
      <w:pPr>
        <w:ind w:left="3045" w:hanging="360"/>
      </w:pPr>
      <w:rPr>
        <w:rFonts w:ascii="Wingdings" w:hAnsi="Wingdings" w:hint="default"/>
      </w:rPr>
    </w:lvl>
    <w:lvl w:ilvl="3" w:tplc="04100001" w:tentative="1">
      <w:start w:val="1"/>
      <w:numFmt w:val="bullet"/>
      <w:lvlText w:val=""/>
      <w:lvlJc w:val="left"/>
      <w:pPr>
        <w:ind w:left="3765" w:hanging="360"/>
      </w:pPr>
      <w:rPr>
        <w:rFonts w:ascii="Symbol" w:hAnsi="Symbol" w:hint="default"/>
      </w:rPr>
    </w:lvl>
    <w:lvl w:ilvl="4" w:tplc="04100003" w:tentative="1">
      <w:start w:val="1"/>
      <w:numFmt w:val="bullet"/>
      <w:lvlText w:val="o"/>
      <w:lvlJc w:val="left"/>
      <w:pPr>
        <w:ind w:left="4485" w:hanging="360"/>
      </w:pPr>
      <w:rPr>
        <w:rFonts w:ascii="Courier New" w:hAnsi="Courier New" w:cs="Courier New" w:hint="default"/>
      </w:rPr>
    </w:lvl>
    <w:lvl w:ilvl="5" w:tplc="04100005" w:tentative="1">
      <w:start w:val="1"/>
      <w:numFmt w:val="bullet"/>
      <w:lvlText w:val=""/>
      <w:lvlJc w:val="left"/>
      <w:pPr>
        <w:ind w:left="5205" w:hanging="360"/>
      </w:pPr>
      <w:rPr>
        <w:rFonts w:ascii="Wingdings" w:hAnsi="Wingdings" w:hint="default"/>
      </w:rPr>
    </w:lvl>
    <w:lvl w:ilvl="6" w:tplc="04100001" w:tentative="1">
      <w:start w:val="1"/>
      <w:numFmt w:val="bullet"/>
      <w:lvlText w:val=""/>
      <w:lvlJc w:val="left"/>
      <w:pPr>
        <w:ind w:left="5925" w:hanging="360"/>
      </w:pPr>
      <w:rPr>
        <w:rFonts w:ascii="Symbol" w:hAnsi="Symbol" w:hint="default"/>
      </w:rPr>
    </w:lvl>
    <w:lvl w:ilvl="7" w:tplc="04100003" w:tentative="1">
      <w:start w:val="1"/>
      <w:numFmt w:val="bullet"/>
      <w:lvlText w:val="o"/>
      <w:lvlJc w:val="left"/>
      <w:pPr>
        <w:ind w:left="6645" w:hanging="360"/>
      </w:pPr>
      <w:rPr>
        <w:rFonts w:ascii="Courier New" w:hAnsi="Courier New" w:cs="Courier New" w:hint="default"/>
      </w:rPr>
    </w:lvl>
    <w:lvl w:ilvl="8" w:tplc="04100005" w:tentative="1">
      <w:start w:val="1"/>
      <w:numFmt w:val="bullet"/>
      <w:lvlText w:val=""/>
      <w:lvlJc w:val="left"/>
      <w:pPr>
        <w:ind w:left="7365" w:hanging="360"/>
      </w:pPr>
      <w:rPr>
        <w:rFonts w:ascii="Wingdings" w:hAnsi="Wingdings" w:hint="default"/>
      </w:rPr>
    </w:lvl>
  </w:abstractNum>
  <w:abstractNum w:abstractNumId="27">
    <w:nsid w:val="7BF95312"/>
    <w:multiLevelType w:val="singleLevel"/>
    <w:tmpl w:val="3000EFD0"/>
    <w:lvl w:ilvl="0">
      <w:start w:val="1"/>
      <w:numFmt w:val="decimal"/>
      <w:lvlText w:val="%1."/>
      <w:lvlJc w:val="left"/>
      <w:pPr>
        <w:tabs>
          <w:tab w:val="num" w:pos="360"/>
        </w:tabs>
        <w:ind w:left="360" w:hanging="360"/>
      </w:pPr>
    </w:lvl>
  </w:abstractNum>
  <w:abstractNum w:abstractNumId="28">
    <w:nsid w:val="7F8C6936"/>
    <w:multiLevelType w:val="hybridMultilevel"/>
    <w:tmpl w:val="14C2A19C"/>
    <w:lvl w:ilvl="0" w:tplc="D3F88A66">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5"/>
  </w:num>
  <w:num w:numId="2">
    <w:abstractNumId w:val="19"/>
  </w:num>
  <w:num w:numId="3">
    <w:abstractNumId w:val="20"/>
  </w:num>
  <w:num w:numId="4">
    <w:abstractNumId w:val="17"/>
  </w:num>
  <w:num w:numId="5">
    <w:abstractNumId w:val="13"/>
  </w:num>
  <w:num w:numId="6">
    <w:abstractNumId w:val="6"/>
  </w:num>
  <w:num w:numId="7">
    <w:abstractNumId w:val="9"/>
  </w:num>
  <w:num w:numId="8">
    <w:abstractNumId w:val="5"/>
  </w:num>
  <w:num w:numId="9">
    <w:abstractNumId w:val="2"/>
  </w:num>
  <w:num w:numId="10">
    <w:abstractNumId w:val="10"/>
  </w:num>
  <w:num w:numId="11">
    <w:abstractNumId w:val="14"/>
  </w:num>
  <w:num w:numId="12">
    <w:abstractNumId w:val="12"/>
  </w:num>
  <w:num w:numId="13">
    <w:abstractNumId w:val="1"/>
  </w:num>
  <w:num w:numId="14">
    <w:abstractNumId w:val="15"/>
  </w:num>
  <w:num w:numId="15">
    <w:abstractNumId w:val="28"/>
  </w:num>
  <w:num w:numId="16">
    <w:abstractNumId w:val="4"/>
  </w:num>
  <w:num w:numId="17">
    <w:abstractNumId w:val="0"/>
  </w:num>
  <w:num w:numId="18">
    <w:abstractNumId w:val="24"/>
  </w:num>
  <w:num w:numId="19">
    <w:abstractNumId w:val="16"/>
  </w:num>
  <w:num w:numId="20">
    <w:abstractNumId w:val="23"/>
  </w:num>
  <w:num w:numId="21">
    <w:abstractNumId w:val="22"/>
  </w:num>
  <w:num w:numId="22">
    <w:abstractNumId w:val="27"/>
  </w:num>
  <w:num w:numId="23">
    <w:abstractNumId w:val="18"/>
  </w:num>
  <w:num w:numId="24">
    <w:abstractNumId w:val="3"/>
  </w:num>
  <w:num w:numId="25">
    <w:abstractNumId w:val="8"/>
  </w:num>
  <w:num w:numId="26">
    <w:abstractNumId w:val="21"/>
  </w:num>
  <w:num w:numId="27">
    <w:abstractNumId w:val="11"/>
  </w:num>
  <w:num w:numId="28">
    <w:abstractNumId w:val="7"/>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283"/>
  <w:characterSpacingControl w:val="doNotCompress"/>
  <w:compat/>
  <w:rsids>
    <w:rsidRoot w:val="00503461"/>
    <w:rsid w:val="000A4A52"/>
    <w:rsid w:val="001B590D"/>
    <w:rsid w:val="001E6931"/>
    <w:rsid w:val="00200F9F"/>
    <w:rsid w:val="00294B14"/>
    <w:rsid w:val="003169BF"/>
    <w:rsid w:val="00373675"/>
    <w:rsid w:val="0039553A"/>
    <w:rsid w:val="003C333F"/>
    <w:rsid w:val="003C66E9"/>
    <w:rsid w:val="003F08C8"/>
    <w:rsid w:val="003F51E8"/>
    <w:rsid w:val="00433ABA"/>
    <w:rsid w:val="004F320E"/>
    <w:rsid w:val="00503461"/>
    <w:rsid w:val="005A5E95"/>
    <w:rsid w:val="00623C0D"/>
    <w:rsid w:val="00650D91"/>
    <w:rsid w:val="006752F1"/>
    <w:rsid w:val="006D1F59"/>
    <w:rsid w:val="006F6E5C"/>
    <w:rsid w:val="007175E0"/>
    <w:rsid w:val="007A04F4"/>
    <w:rsid w:val="00820452"/>
    <w:rsid w:val="0087509B"/>
    <w:rsid w:val="00A04B88"/>
    <w:rsid w:val="00AA6F9B"/>
    <w:rsid w:val="00AD7E46"/>
    <w:rsid w:val="00AF0A78"/>
    <w:rsid w:val="00BD6357"/>
    <w:rsid w:val="00C643E4"/>
    <w:rsid w:val="00D404EC"/>
    <w:rsid w:val="00D9618E"/>
    <w:rsid w:val="00E365C5"/>
    <w:rsid w:val="00E75EAC"/>
    <w:rsid w:val="00E8400D"/>
    <w:rsid w:val="00EB10A2"/>
    <w:rsid w:val="00EB6F0B"/>
    <w:rsid w:val="00EC48F9"/>
    <w:rsid w:val="00F839A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52F1"/>
  </w:style>
  <w:style w:type="paragraph" w:styleId="Titolo1">
    <w:name w:val="heading 1"/>
    <w:basedOn w:val="Normale"/>
    <w:next w:val="Normale"/>
    <w:link w:val="Titolo1Carattere"/>
    <w:qFormat/>
    <w:rsid w:val="00503461"/>
    <w:pPr>
      <w:keepNext/>
      <w:spacing w:before="600" w:after="0" w:line="240" w:lineRule="auto"/>
      <w:jc w:val="center"/>
      <w:outlineLvl w:val="0"/>
    </w:pPr>
    <w:rPr>
      <w:rFonts w:ascii="Times New Roman" w:eastAsia="Times New Roman" w:hAnsi="Times New Roman" w:cs="Times New Roman"/>
      <w:b/>
      <w:i/>
      <w:spacing w:val="60"/>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03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rsid w:val="00503461"/>
    <w:rPr>
      <w:rFonts w:ascii="Times New Roman" w:eastAsia="Times New Roman" w:hAnsi="Times New Roman" w:cs="Times New Roman"/>
      <w:b/>
      <w:i/>
      <w:spacing w:val="60"/>
      <w:sz w:val="24"/>
      <w:szCs w:val="20"/>
      <w:lang w:eastAsia="it-IT"/>
    </w:rPr>
  </w:style>
  <w:style w:type="paragraph" w:customStyle="1" w:styleId="Corpodeltesto21">
    <w:name w:val="Corpo del testo 21"/>
    <w:basedOn w:val="Normale"/>
    <w:rsid w:val="00503461"/>
    <w:pPr>
      <w:spacing w:after="0" w:line="240" w:lineRule="auto"/>
      <w:ind w:right="-1134"/>
      <w:jc w:val="both"/>
    </w:pPr>
    <w:rPr>
      <w:rFonts w:ascii="Arial" w:eastAsia="Times New Roman" w:hAnsi="Arial" w:cs="Times New Roman"/>
      <w:sz w:val="28"/>
      <w:szCs w:val="20"/>
      <w:lang w:eastAsia="it-IT"/>
    </w:rPr>
  </w:style>
  <w:style w:type="paragraph" w:styleId="Paragrafoelenco">
    <w:name w:val="List Paragraph"/>
    <w:basedOn w:val="Normale"/>
    <w:uiPriority w:val="34"/>
    <w:qFormat/>
    <w:rsid w:val="003F51E8"/>
    <w:pPr>
      <w:ind w:left="720"/>
      <w:contextualSpacing/>
    </w:pPr>
  </w:style>
  <w:style w:type="paragraph" w:styleId="Testofumetto">
    <w:name w:val="Balloon Text"/>
    <w:basedOn w:val="Normale"/>
    <w:link w:val="TestofumettoCarattere"/>
    <w:uiPriority w:val="99"/>
    <w:semiHidden/>
    <w:unhideWhenUsed/>
    <w:rsid w:val="00650D9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0D91"/>
    <w:rPr>
      <w:rFonts w:ascii="Segoe UI" w:hAnsi="Segoe UI" w:cs="Segoe UI"/>
      <w:sz w:val="18"/>
      <w:szCs w:val="18"/>
    </w:rPr>
  </w:style>
  <w:style w:type="paragraph" w:customStyle="1" w:styleId="BodyText23">
    <w:name w:val="Body Text 23"/>
    <w:basedOn w:val="Normale"/>
    <w:link w:val="BodyText23Carattere"/>
    <w:rsid w:val="00E8400D"/>
    <w:pPr>
      <w:spacing w:after="0" w:line="240" w:lineRule="auto"/>
      <w:ind w:right="-1"/>
      <w:jc w:val="both"/>
    </w:pPr>
    <w:rPr>
      <w:rFonts w:ascii="Times New Roman" w:eastAsia="Times New Roman" w:hAnsi="Times New Roman" w:cs="Times New Roman"/>
      <w:sz w:val="28"/>
      <w:szCs w:val="20"/>
      <w:lang w:eastAsia="it-IT"/>
    </w:rPr>
  </w:style>
  <w:style w:type="character" w:customStyle="1" w:styleId="BodyText23Carattere">
    <w:name w:val="Body Text 23 Carattere"/>
    <w:basedOn w:val="Carpredefinitoparagrafo"/>
    <w:link w:val="BodyText23"/>
    <w:rsid w:val="00E8400D"/>
    <w:rPr>
      <w:rFonts w:ascii="Times New Roman" w:eastAsia="Times New Roman" w:hAnsi="Times New Roman" w:cs="Times New Roman"/>
      <w:sz w:val="28"/>
      <w:szCs w:val="20"/>
      <w:lang w:eastAsia="it-IT"/>
    </w:rPr>
  </w:style>
  <w:style w:type="character" w:styleId="Rimandocommento">
    <w:name w:val="annotation reference"/>
    <w:basedOn w:val="Carpredefinitoparagrafo"/>
    <w:uiPriority w:val="99"/>
    <w:semiHidden/>
    <w:unhideWhenUsed/>
    <w:rsid w:val="00E365C5"/>
    <w:rPr>
      <w:sz w:val="16"/>
      <w:szCs w:val="16"/>
    </w:rPr>
  </w:style>
  <w:style w:type="paragraph" w:styleId="Testocommento">
    <w:name w:val="annotation text"/>
    <w:basedOn w:val="Normale"/>
    <w:link w:val="TestocommentoCarattere"/>
    <w:uiPriority w:val="99"/>
    <w:semiHidden/>
    <w:unhideWhenUsed/>
    <w:rsid w:val="00E365C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365C5"/>
    <w:rPr>
      <w:sz w:val="20"/>
      <w:szCs w:val="20"/>
    </w:rPr>
  </w:style>
  <w:style w:type="paragraph" w:styleId="Soggettocommento">
    <w:name w:val="annotation subject"/>
    <w:basedOn w:val="Testocommento"/>
    <w:next w:val="Testocommento"/>
    <w:link w:val="SoggettocommentoCarattere"/>
    <w:uiPriority w:val="99"/>
    <w:semiHidden/>
    <w:unhideWhenUsed/>
    <w:rsid w:val="00E365C5"/>
    <w:rPr>
      <w:b/>
      <w:bCs/>
    </w:rPr>
  </w:style>
  <w:style w:type="character" w:customStyle="1" w:styleId="SoggettocommentoCarattere">
    <w:name w:val="Soggetto commento Carattere"/>
    <w:basedOn w:val="TestocommentoCarattere"/>
    <w:link w:val="Soggettocommento"/>
    <w:uiPriority w:val="99"/>
    <w:semiHidden/>
    <w:rsid w:val="00E365C5"/>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1382</Words>
  <Characters>7879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dc:creator>
  <cp:keywords/>
  <dc:description/>
  <cp:lastModifiedBy>Giacomelli Noemi</cp:lastModifiedBy>
  <cp:revision>19</cp:revision>
  <cp:lastPrinted>2017-03-27T12:08:00Z</cp:lastPrinted>
  <dcterms:created xsi:type="dcterms:W3CDTF">2017-01-30T11:56:00Z</dcterms:created>
  <dcterms:modified xsi:type="dcterms:W3CDTF">2017-04-05T06:57:00Z</dcterms:modified>
</cp:coreProperties>
</file>